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4A" w:rsidRDefault="005E6ED2" w:rsidP="00DA3D7C">
      <w:pPr>
        <w:jc w:val="center"/>
        <w:rPr>
          <w:rFonts w:asciiTheme="majorBidi" w:hAnsiTheme="majorBidi" w:cstheme="majorBidi"/>
          <w:sz w:val="24"/>
          <w:szCs w:val="24"/>
        </w:rPr>
      </w:pPr>
      <w:r>
        <w:rPr>
          <w:rFonts w:asciiTheme="majorBidi" w:hAnsiTheme="majorBidi" w:cstheme="majorBidi"/>
          <w:sz w:val="24"/>
          <w:szCs w:val="24"/>
        </w:rPr>
        <w:t xml:space="preserve">Implementasi </w:t>
      </w:r>
      <w:r w:rsidR="00BF247D">
        <w:rPr>
          <w:rFonts w:asciiTheme="majorBidi" w:hAnsiTheme="majorBidi" w:cstheme="majorBidi"/>
          <w:sz w:val="24"/>
          <w:szCs w:val="24"/>
        </w:rPr>
        <w:t xml:space="preserve">Pendidikan Holistik </w:t>
      </w:r>
      <w:r>
        <w:rPr>
          <w:rFonts w:asciiTheme="majorBidi" w:hAnsiTheme="majorBidi" w:cstheme="majorBidi"/>
          <w:sz w:val="24"/>
          <w:szCs w:val="24"/>
        </w:rPr>
        <w:t>dalam Al-Qur’an</w:t>
      </w:r>
      <w:r w:rsidR="0031784A">
        <w:rPr>
          <w:rFonts w:asciiTheme="majorBidi" w:hAnsiTheme="majorBidi" w:cstheme="majorBidi"/>
          <w:sz w:val="24"/>
          <w:szCs w:val="24"/>
        </w:rPr>
        <w:t xml:space="preserve">: </w:t>
      </w:r>
    </w:p>
    <w:p w:rsidR="00677149" w:rsidRDefault="0031784A" w:rsidP="0031784A">
      <w:pPr>
        <w:jc w:val="center"/>
        <w:rPr>
          <w:rFonts w:asciiTheme="majorBidi" w:hAnsiTheme="majorBidi" w:cstheme="majorBidi"/>
          <w:sz w:val="24"/>
          <w:szCs w:val="24"/>
        </w:rPr>
      </w:pPr>
      <w:r>
        <w:rPr>
          <w:rFonts w:asciiTheme="majorBidi" w:hAnsiTheme="majorBidi" w:cstheme="majorBidi"/>
          <w:sz w:val="24"/>
          <w:szCs w:val="24"/>
        </w:rPr>
        <w:t xml:space="preserve">Suatu Tinjauan </w:t>
      </w:r>
      <w:r w:rsidR="005E6ED2" w:rsidRPr="0031784A">
        <w:rPr>
          <w:rFonts w:asciiTheme="majorBidi" w:hAnsiTheme="majorBidi" w:cstheme="majorBidi"/>
          <w:i/>
          <w:iCs/>
          <w:sz w:val="24"/>
          <w:szCs w:val="24"/>
        </w:rPr>
        <w:t>Maqashid al-Syariah</w:t>
      </w:r>
      <w:r w:rsidR="005E6ED2">
        <w:rPr>
          <w:rFonts w:asciiTheme="majorBidi" w:hAnsiTheme="majorBidi" w:cstheme="majorBidi"/>
          <w:sz w:val="24"/>
          <w:szCs w:val="24"/>
        </w:rPr>
        <w:t xml:space="preserve"> Jasser Auda </w:t>
      </w:r>
    </w:p>
    <w:p w:rsidR="00BF247D" w:rsidRDefault="00BF247D" w:rsidP="00BF247D">
      <w:pPr>
        <w:jc w:val="center"/>
        <w:rPr>
          <w:rFonts w:asciiTheme="majorBidi" w:hAnsiTheme="majorBidi" w:cstheme="majorBidi"/>
          <w:sz w:val="24"/>
          <w:szCs w:val="24"/>
        </w:rPr>
      </w:pPr>
    </w:p>
    <w:p w:rsidR="00BF247D" w:rsidRDefault="00BF247D" w:rsidP="00BF247D">
      <w:pPr>
        <w:jc w:val="center"/>
        <w:rPr>
          <w:rFonts w:asciiTheme="majorBidi" w:hAnsiTheme="majorBidi" w:cstheme="majorBidi"/>
          <w:sz w:val="24"/>
          <w:szCs w:val="24"/>
        </w:rPr>
      </w:pPr>
      <w:r>
        <w:rPr>
          <w:rFonts w:asciiTheme="majorBidi" w:hAnsiTheme="majorBidi" w:cstheme="majorBidi"/>
          <w:sz w:val="24"/>
          <w:szCs w:val="24"/>
        </w:rPr>
        <w:t>Oleh: Muhammad Suaib Tahir</w:t>
      </w:r>
    </w:p>
    <w:p w:rsidR="00BF247D" w:rsidRDefault="003A2A4F" w:rsidP="003A2A4F">
      <w:pPr>
        <w:tabs>
          <w:tab w:val="center" w:pos="4680"/>
          <w:tab w:val="right" w:pos="9360"/>
        </w:tabs>
        <w:rPr>
          <w:rFonts w:asciiTheme="majorBidi" w:hAnsiTheme="majorBidi" w:cstheme="majorBidi"/>
          <w:sz w:val="24"/>
          <w:szCs w:val="24"/>
        </w:rPr>
      </w:pPr>
      <w:r>
        <w:rPr>
          <w:rFonts w:asciiTheme="majorBidi" w:hAnsiTheme="majorBidi" w:cstheme="majorBidi"/>
          <w:sz w:val="24"/>
          <w:szCs w:val="24"/>
        </w:rPr>
        <w:tab/>
      </w:r>
      <w:r w:rsidR="001B395F">
        <w:rPr>
          <w:rFonts w:asciiTheme="majorBidi" w:hAnsiTheme="majorBidi" w:cstheme="majorBidi"/>
          <w:sz w:val="24"/>
          <w:szCs w:val="24"/>
        </w:rPr>
        <w:t>Universitas</w:t>
      </w:r>
      <w:r w:rsidR="00BF247D">
        <w:rPr>
          <w:rFonts w:asciiTheme="majorBidi" w:hAnsiTheme="majorBidi" w:cstheme="majorBidi"/>
          <w:sz w:val="24"/>
          <w:szCs w:val="24"/>
        </w:rPr>
        <w:t xml:space="preserve"> PTIQ Jakarta</w:t>
      </w:r>
      <w:r>
        <w:rPr>
          <w:rFonts w:asciiTheme="majorBidi" w:hAnsiTheme="majorBidi" w:cstheme="majorBidi"/>
          <w:sz w:val="24"/>
          <w:szCs w:val="24"/>
        </w:rPr>
        <w:tab/>
      </w:r>
    </w:p>
    <w:p w:rsidR="00BF247D" w:rsidRDefault="00035CEE" w:rsidP="00BF247D">
      <w:pPr>
        <w:jc w:val="center"/>
        <w:rPr>
          <w:rFonts w:asciiTheme="majorBidi" w:hAnsiTheme="majorBidi" w:cstheme="majorBidi"/>
          <w:sz w:val="24"/>
          <w:szCs w:val="24"/>
        </w:rPr>
      </w:pPr>
      <w:hyperlink r:id="rId7" w:history="1">
        <w:r w:rsidR="00AE1164" w:rsidRPr="00C36EEC">
          <w:rPr>
            <w:rStyle w:val="Hyperlink"/>
            <w:rFonts w:asciiTheme="majorBidi" w:hAnsiTheme="majorBidi" w:cstheme="majorBidi"/>
            <w:sz w:val="24"/>
            <w:szCs w:val="24"/>
          </w:rPr>
          <w:t>stahir@ptiq.ac.id</w:t>
        </w:r>
      </w:hyperlink>
    </w:p>
    <w:p w:rsidR="00BF247D" w:rsidRDefault="00BF247D" w:rsidP="00BF247D">
      <w:pPr>
        <w:jc w:val="center"/>
        <w:rPr>
          <w:rFonts w:asciiTheme="majorBidi" w:hAnsiTheme="majorBidi" w:cstheme="majorBidi"/>
          <w:sz w:val="24"/>
          <w:szCs w:val="24"/>
        </w:rPr>
      </w:pPr>
    </w:p>
    <w:p w:rsidR="00BF247D" w:rsidRDefault="00BF247D" w:rsidP="00BF247D">
      <w:pPr>
        <w:jc w:val="center"/>
        <w:rPr>
          <w:rFonts w:asciiTheme="majorBidi" w:hAnsiTheme="majorBidi" w:cstheme="majorBidi"/>
          <w:sz w:val="24"/>
          <w:szCs w:val="24"/>
        </w:rPr>
      </w:pPr>
      <w:r>
        <w:rPr>
          <w:rFonts w:asciiTheme="majorBidi" w:hAnsiTheme="majorBidi" w:cstheme="majorBidi"/>
          <w:sz w:val="24"/>
          <w:szCs w:val="24"/>
        </w:rPr>
        <w:t xml:space="preserve">Abstrak </w:t>
      </w:r>
    </w:p>
    <w:p w:rsidR="005E6ED2" w:rsidRDefault="005E6ED2" w:rsidP="005E6ED2">
      <w:pPr>
        <w:jc w:val="both"/>
        <w:rPr>
          <w:rFonts w:asciiTheme="majorBidi" w:hAnsiTheme="majorBidi" w:cstheme="majorBidi"/>
          <w:sz w:val="24"/>
          <w:szCs w:val="24"/>
        </w:rPr>
      </w:pPr>
      <w:r>
        <w:rPr>
          <w:rFonts w:asciiTheme="majorBidi" w:hAnsiTheme="majorBidi" w:cstheme="majorBidi"/>
          <w:sz w:val="24"/>
          <w:szCs w:val="24"/>
        </w:rPr>
        <w:t>Pendidikan Holistik</w:t>
      </w:r>
      <w:r w:rsidR="004D6DB1">
        <w:rPr>
          <w:rFonts w:asciiTheme="majorBidi" w:hAnsiTheme="majorBidi" w:cstheme="majorBidi"/>
          <w:sz w:val="24"/>
          <w:szCs w:val="24"/>
        </w:rPr>
        <w:t xml:space="preserve"> menawarkan suatu konsep pendidikan berbasis pada seluruh potensi peserta didik secara ko</w:t>
      </w:r>
      <w:r>
        <w:rPr>
          <w:rFonts w:asciiTheme="majorBidi" w:hAnsiTheme="majorBidi" w:cstheme="majorBidi"/>
          <w:sz w:val="24"/>
          <w:szCs w:val="24"/>
        </w:rPr>
        <w:t>mpleks. Artinya melibatkan seluruh aspek baik secara</w:t>
      </w:r>
      <w:r w:rsidR="004D6DB1">
        <w:rPr>
          <w:rFonts w:asciiTheme="majorBidi" w:hAnsiTheme="majorBidi" w:cstheme="majorBidi"/>
          <w:sz w:val="24"/>
          <w:szCs w:val="24"/>
        </w:rPr>
        <w:t xml:space="preserve"> kognitif, spiritual, budaya dan spiritual. Dalam Al-Qur’an wawasan soal pendidikan disampaikan secara universal, oleh sebab itu perlu dikembangkan secara kontekstual melibatkan perangkat yang relevan dengan </w:t>
      </w:r>
      <w:r>
        <w:rPr>
          <w:rFonts w:asciiTheme="majorBidi" w:hAnsiTheme="majorBidi" w:cstheme="majorBidi"/>
          <w:sz w:val="24"/>
          <w:szCs w:val="24"/>
        </w:rPr>
        <w:t xml:space="preserve">meninjau </w:t>
      </w:r>
      <w:r w:rsidR="004D6DB1">
        <w:rPr>
          <w:rFonts w:asciiTheme="majorBidi" w:hAnsiTheme="majorBidi" w:cstheme="majorBidi"/>
          <w:sz w:val="24"/>
          <w:szCs w:val="24"/>
        </w:rPr>
        <w:t>semanga</w:t>
      </w:r>
      <w:r w:rsidR="002209A7">
        <w:rPr>
          <w:rFonts w:asciiTheme="majorBidi" w:hAnsiTheme="majorBidi" w:cstheme="majorBidi"/>
          <w:sz w:val="24"/>
          <w:szCs w:val="24"/>
        </w:rPr>
        <w:t xml:space="preserve">t </w:t>
      </w:r>
      <w:r>
        <w:rPr>
          <w:rFonts w:asciiTheme="majorBidi" w:hAnsiTheme="majorBidi" w:cstheme="majorBidi"/>
          <w:sz w:val="24"/>
          <w:szCs w:val="24"/>
        </w:rPr>
        <w:t xml:space="preserve">dari </w:t>
      </w:r>
      <w:r w:rsidR="002209A7">
        <w:rPr>
          <w:rFonts w:asciiTheme="majorBidi" w:hAnsiTheme="majorBidi" w:cstheme="majorBidi"/>
          <w:sz w:val="24"/>
          <w:szCs w:val="24"/>
        </w:rPr>
        <w:t xml:space="preserve">syariat </w:t>
      </w:r>
      <w:r>
        <w:rPr>
          <w:rFonts w:asciiTheme="majorBidi" w:hAnsiTheme="majorBidi" w:cstheme="majorBidi"/>
          <w:sz w:val="24"/>
          <w:szCs w:val="24"/>
        </w:rPr>
        <w:t>(</w:t>
      </w:r>
      <w:r w:rsidR="002209A7" w:rsidRPr="005E6ED2">
        <w:rPr>
          <w:rFonts w:asciiTheme="majorBidi" w:hAnsiTheme="majorBidi" w:cstheme="majorBidi"/>
          <w:i/>
          <w:iCs/>
          <w:sz w:val="24"/>
          <w:szCs w:val="24"/>
        </w:rPr>
        <w:t>maqashid al-Syariah</w:t>
      </w:r>
      <w:r>
        <w:rPr>
          <w:rFonts w:asciiTheme="majorBidi" w:hAnsiTheme="majorBidi" w:cstheme="majorBidi"/>
          <w:sz w:val="24"/>
          <w:szCs w:val="24"/>
        </w:rPr>
        <w:t>)</w:t>
      </w:r>
      <w:r w:rsidR="002209A7">
        <w:rPr>
          <w:rFonts w:asciiTheme="majorBidi" w:hAnsiTheme="majorBidi" w:cstheme="majorBidi"/>
          <w:sz w:val="24"/>
          <w:szCs w:val="24"/>
        </w:rPr>
        <w:t>. Kajian ini mengembangkan maqashid al-Syariah yang digagas oleh Jasser Auda. Temuan artikel ini bahwa ayat-ayat pendidikan disampaikan dengan kosa kata yang universal tetapi terdapat kata kunci yang bisa dikembangkan untuk menjawab tantangan yang kontekstual sesuai dengan kebutuhan pendidikan.</w:t>
      </w:r>
    </w:p>
    <w:p w:rsidR="002209A7" w:rsidRDefault="002209A7" w:rsidP="004D6DB1">
      <w:pPr>
        <w:jc w:val="both"/>
        <w:rPr>
          <w:rFonts w:asciiTheme="majorBidi" w:hAnsiTheme="majorBidi" w:cstheme="majorBidi"/>
          <w:sz w:val="24"/>
          <w:szCs w:val="24"/>
        </w:rPr>
      </w:pPr>
    </w:p>
    <w:p w:rsidR="002209A7" w:rsidRDefault="002209A7" w:rsidP="004D6DB1">
      <w:pPr>
        <w:jc w:val="both"/>
        <w:rPr>
          <w:rFonts w:asciiTheme="majorBidi" w:hAnsiTheme="majorBidi" w:cstheme="majorBidi"/>
          <w:sz w:val="24"/>
          <w:szCs w:val="24"/>
        </w:rPr>
      </w:pPr>
      <w:r>
        <w:rPr>
          <w:rFonts w:asciiTheme="majorBidi" w:hAnsiTheme="majorBidi" w:cstheme="majorBidi"/>
          <w:sz w:val="24"/>
          <w:szCs w:val="24"/>
        </w:rPr>
        <w:t>Kata kunci: pendidikan holistik, maqashid al-Syariah, Jasser Auda</w:t>
      </w:r>
    </w:p>
    <w:p w:rsidR="005E6ED2" w:rsidRDefault="005E6ED2" w:rsidP="004D6DB1">
      <w:pPr>
        <w:jc w:val="both"/>
        <w:rPr>
          <w:rFonts w:asciiTheme="majorBidi" w:hAnsiTheme="majorBidi" w:cstheme="majorBidi"/>
          <w:sz w:val="24"/>
          <w:szCs w:val="24"/>
        </w:rPr>
      </w:pPr>
    </w:p>
    <w:p w:rsidR="005E6ED2" w:rsidRPr="0031784A" w:rsidRDefault="005E6ED2" w:rsidP="004D6DB1">
      <w:pPr>
        <w:jc w:val="both"/>
        <w:rPr>
          <w:rFonts w:asciiTheme="majorBidi" w:hAnsiTheme="majorBidi" w:cstheme="majorBidi"/>
          <w:b/>
          <w:bCs/>
          <w:sz w:val="24"/>
          <w:szCs w:val="24"/>
        </w:rPr>
      </w:pPr>
      <w:r w:rsidRPr="0031784A">
        <w:rPr>
          <w:rFonts w:asciiTheme="majorBidi" w:hAnsiTheme="majorBidi" w:cstheme="majorBidi"/>
          <w:b/>
          <w:bCs/>
          <w:sz w:val="24"/>
          <w:szCs w:val="24"/>
        </w:rPr>
        <w:t>PENDAHULUAN</w:t>
      </w:r>
    </w:p>
    <w:p w:rsidR="00DA3D7C" w:rsidRDefault="00833418" w:rsidP="00DA3D7C">
      <w:pPr>
        <w:jc w:val="both"/>
        <w:rPr>
          <w:rFonts w:asciiTheme="majorBidi" w:hAnsiTheme="majorBidi" w:cstheme="majorBidi"/>
          <w:sz w:val="24"/>
          <w:szCs w:val="24"/>
        </w:rPr>
      </w:pPr>
      <w:r>
        <w:rPr>
          <w:rFonts w:asciiTheme="majorBidi" w:hAnsiTheme="majorBidi" w:cstheme="majorBidi"/>
          <w:sz w:val="24"/>
          <w:szCs w:val="24"/>
        </w:rPr>
        <w:t>Dinamika kondisi sosial yang terus mengalami perubahan justru menjadi tantangan untuk terus melakukan inovasi sistem</w:t>
      </w:r>
      <w:r w:rsidR="00DA3D7C">
        <w:rPr>
          <w:rFonts w:asciiTheme="majorBidi" w:hAnsiTheme="majorBidi" w:cstheme="majorBidi"/>
          <w:sz w:val="24"/>
          <w:szCs w:val="24"/>
        </w:rPr>
        <w:t xml:space="preserve"> Pendidikan dengan tujuan agar p</w:t>
      </w:r>
      <w:r>
        <w:rPr>
          <w:rFonts w:asciiTheme="majorBidi" w:hAnsiTheme="majorBidi" w:cstheme="majorBidi"/>
          <w:sz w:val="24"/>
          <w:szCs w:val="24"/>
        </w:rPr>
        <w:t>endidikan dapat diterima oleh peserta</w:t>
      </w:r>
      <w:r w:rsidR="00DA3D7C">
        <w:rPr>
          <w:rFonts w:asciiTheme="majorBidi" w:hAnsiTheme="majorBidi" w:cstheme="majorBidi"/>
          <w:sz w:val="24"/>
          <w:szCs w:val="24"/>
        </w:rPr>
        <w:t xml:space="preserve"> didik</w:t>
      </w:r>
      <w:r>
        <w:rPr>
          <w:rFonts w:asciiTheme="majorBidi" w:hAnsiTheme="majorBidi" w:cstheme="majorBidi"/>
          <w:sz w:val="24"/>
          <w:szCs w:val="24"/>
        </w:rPr>
        <w:t xml:space="preserve"> secara tepat. Melihat fakta di Indonesia tujuan tersebut tidak sepenuhnya tercapai dengan baik, jika </w:t>
      </w:r>
      <w:r w:rsidR="00DA3D7C">
        <w:rPr>
          <w:rFonts w:asciiTheme="majorBidi" w:hAnsiTheme="majorBidi" w:cstheme="majorBidi"/>
          <w:sz w:val="24"/>
          <w:szCs w:val="24"/>
        </w:rPr>
        <w:t>dihadapkan dengan</w:t>
      </w:r>
      <w:r>
        <w:rPr>
          <w:rFonts w:asciiTheme="majorBidi" w:hAnsiTheme="majorBidi" w:cstheme="majorBidi"/>
          <w:sz w:val="24"/>
          <w:szCs w:val="24"/>
        </w:rPr>
        <w:t xml:space="preserve"> kasus-kasus yang masih sering terja</w:t>
      </w:r>
      <w:r w:rsidR="00DA3D7C">
        <w:rPr>
          <w:rFonts w:asciiTheme="majorBidi" w:hAnsiTheme="majorBidi" w:cstheme="majorBidi"/>
          <w:sz w:val="24"/>
          <w:szCs w:val="24"/>
        </w:rPr>
        <w:t xml:space="preserve">di di lingkungan pendidikan, seperti kasus intoleransi, kekerasan, pelecehan seksual dan sejenisnya. </w:t>
      </w:r>
    </w:p>
    <w:p w:rsidR="005E6ED2" w:rsidRDefault="00DA3D7C" w:rsidP="00DA3D7C">
      <w:pPr>
        <w:jc w:val="both"/>
        <w:rPr>
          <w:rFonts w:asciiTheme="majorBidi" w:hAnsiTheme="majorBidi" w:cstheme="majorBidi"/>
          <w:sz w:val="24"/>
          <w:szCs w:val="24"/>
        </w:rPr>
      </w:pPr>
      <w:r>
        <w:rPr>
          <w:rFonts w:asciiTheme="majorBidi" w:hAnsiTheme="majorBidi" w:cstheme="majorBidi"/>
          <w:sz w:val="24"/>
          <w:szCs w:val="24"/>
        </w:rPr>
        <w:tab/>
        <w:t>Melihat masih tingginya kasus-kasus semacam itu perlu dilakukan kajian ulang terkait tujuan dari pendidikan itu sendiri. Dalam konteks ini, penulis akan melaku</w:t>
      </w:r>
      <w:r w:rsidR="00DE788E">
        <w:rPr>
          <w:rFonts w:asciiTheme="majorBidi" w:hAnsiTheme="majorBidi" w:cstheme="majorBidi"/>
          <w:sz w:val="24"/>
          <w:szCs w:val="24"/>
        </w:rPr>
        <w:t>kan kajian ulang atas ayat-ayat Al-Qur’a</w:t>
      </w:r>
      <w:r>
        <w:rPr>
          <w:rFonts w:asciiTheme="majorBidi" w:hAnsiTheme="majorBidi" w:cstheme="majorBidi"/>
          <w:sz w:val="24"/>
          <w:szCs w:val="24"/>
        </w:rPr>
        <w:t xml:space="preserve">n yang berbicara tentang pendidikan dengan tinjauan </w:t>
      </w:r>
      <w:r w:rsidRPr="00BB22A6">
        <w:rPr>
          <w:rFonts w:asciiTheme="majorBidi" w:hAnsiTheme="majorBidi" w:cstheme="majorBidi"/>
          <w:i/>
          <w:iCs/>
          <w:sz w:val="24"/>
          <w:szCs w:val="24"/>
        </w:rPr>
        <w:t>maqashid al-Syariah</w:t>
      </w:r>
      <w:r>
        <w:rPr>
          <w:rFonts w:asciiTheme="majorBidi" w:hAnsiTheme="majorBidi" w:cstheme="majorBidi"/>
          <w:sz w:val="24"/>
          <w:szCs w:val="24"/>
        </w:rPr>
        <w:t xml:space="preserve"> Jasser Auda.</w:t>
      </w:r>
      <w:r w:rsidR="00833418">
        <w:rPr>
          <w:rFonts w:asciiTheme="majorBidi" w:hAnsiTheme="majorBidi" w:cstheme="majorBidi"/>
          <w:sz w:val="24"/>
          <w:szCs w:val="24"/>
        </w:rPr>
        <w:t xml:space="preserve"> </w:t>
      </w:r>
      <w:r w:rsidR="00BB22A6">
        <w:rPr>
          <w:rFonts w:asciiTheme="majorBidi" w:hAnsiTheme="majorBidi" w:cstheme="majorBidi"/>
          <w:sz w:val="24"/>
          <w:szCs w:val="24"/>
        </w:rPr>
        <w:t>Pertanyaan penting yang bisa diajukan, bagaimana hakikat tujuan pendidikan yang dikehendaki oleh Al-Qur’an? mampukan menjawab perkembangan zaman dengan segala macam perubahan?</w:t>
      </w:r>
    </w:p>
    <w:p w:rsidR="00BB22A6" w:rsidRDefault="00BB22A6" w:rsidP="00DA3D7C">
      <w:pPr>
        <w:jc w:val="both"/>
        <w:rPr>
          <w:rFonts w:asciiTheme="majorBidi" w:hAnsiTheme="majorBidi" w:cstheme="majorBidi"/>
          <w:sz w:val="24"/>
          <w:szCs w:val="24"/>
        </w:rPr>
      </w:pPr>
      <w:r>
        <w:rPr>
          <w:rFonts w:asciiTheme="majorBidi" w:hAnsiTheme="majorBidi" w:cstheme="majorBidi"/>
          <w:sz w:val="24"/>
          <w:szCs w:val="24"/>
        </w:rPr>
        <w:tab/>
      </w:r>
      <w:r w:rsidR="00996A32">
        <w:rPr>
          <w:rFonts w:asciiTheme="majorBidi" w:hAnsiTheme="majorBidi" w:cstheme="majorBidi"/>
          <w:sz w:val="24"/>
          <w:szCs w:val="24"/>
        </w:rPr>
        <w:t>Kajian ini penting dilakukan mengingat sejauh ini riset soal Pendidikan Holistik yang selalu diwacanakan sebagai suatu model pendidikan setrategis hanya berkutat pada landasan normative-kontekstual, tidak melibatkan normative-teologis</w:t>
      </w:r>
      <w:r w:rsidR="00DE788E">
        <w:rPr>
          <w:rFonts w:asciiTheme="majorBidi" w:hAnsiTheme="majorBidi" w:cstheme="majorBidi"/>
          <w:sz w:val="24"/>
          <w:szCs w:val="24"/>
        </w:rPr>
        <w:t xml:space="preserve"> dan kontekstualis</w:t>
      </w:r>
      <w:r w:rsidR="00996A32">
        <w:rPr>
          <w:rFonts w:asciiTheme="majorBidi" w:hAnsiTheme="majorBidi" w:cstheme="majorBidi"/>
          <w:sz w:val="24"/>
          <w:szCs w:val="24"/>
        </w:rPr>
        <w:t xml:space="preserve">. Pertimbangan ini penting mengingat kultur Indonesia sebagai negara yang melibatkan agama sebagai pondasi </w:t>
      </w:r>
      <w:r w:rsidR="00996A32">
        <w:rPr>
          <w:rFonts w:asciiTheme="majorBidi" w:hAnsiTheme="majorBidi" w:cstheme="majorBidi"/>
          <w:sz w:val="24"/>
          <w:szCs w:val="24"/>
        </w:rPr>
        <w:lastRenderedPageBreak/>
        <w:t xml:space="preserve">dalam kehidupannya sehari-hari. </w:t>
      </w:r>
      <w:r w:rsidR="00BC3256">
        <w:rPr>
          <w:rFonts w:asciiTheme="majorBidi" w:hAnsiTheme="majorBidi" w:cstheme="majorBidi"/>
          <w:sz w:val="24"/>
          <w:szCs w:val="24"/>
        </w:rPr>
        <w:t>Sehingga agama memiliki peranan penting dalam membentuk karakter umat Indonesia menuju arah yang lebih baik.</w:t>
      </w:r>
    </w:p>
    <w:p w:rsidR="000E0833" w:rsidRDefault="00BC3256" w:rsidP="00770CB7">
      <w:pPr>
        <w:jc w:val="both"/>
        <w:rPr>
          <w:rFonts w:asciiTheme="majorBidi" w:hAnsiTheme="majorBidi" w:cstheme="majorBidi"/>
          <w:sz w:val="24"/>
          <w:szCs w:val="24"/>
        </w:rPr>
      </w:pPr>
      <w:r>
        <w:rPr>
          <w:rFonts w:asciiTheme="majorBidi" w:hAnsiTheme="majorBidi" w:cstheme="majorBidi"/>
          <w:sz w:val="24"/>
          <w:szCs w:val="24"/>
        </w:rPr>
        <w:tab/>
      </w:r>
      <w:r w:rsidR="00352E3D">
        <w:rPr>
          <w:rFonts w:asciiTheme="majorBidi" w:hAnsiTheme="majorBidi" w:cstheme="majorBidi"/>
          <w:sz w:val="24"/>
          <w:szCs w:val="24"/>
        </w:rPr>
        <w:t xml:space="preserve">Pendidikan Holistik </w:t>
      </w:r>
      <w:r w:rsidR="00770CB7">
        <w:rPr>
          <w:rFonts w:asciiTheme="majorBidi" w:hAnsiTheme="majorBidi" w:cstheme="majorBidi"/>
          <w:sz w:val="24"/>
          <w:szCs w:val="24"/>
        </w:rPr>
        <w:t xml:space="preserve">sebagai sebuah tawaran terobosan pendidikan di era abad 21 disampaikan dalam riset </w:t>
      </w:r>
      <w:r w:rsidR="00352E3D">
        <w:rPr>
          <w:rFonts w:asciiTheme="majorBidi" w:hAnsiTheme="majorBidi" w:cstheme="majorBidi"/>
          <w:sz w:val="24"/>
          <w:szCs w:val="24"/>
        </w:rPr>
        <w:t>Ebrahim Jafari, dkk dengan judul, “Holistic Education: An Aproach for 21 Century</w:t>
      </w:r>
      <w:r w:rsidR="00770CB7">
        <w:rPr>
          <w:rFonts w:asciiTheme="majorBidi" w:hAnsiTheme="majorBidi" w:cstheme="majorBidi"/>
          <w:sz w:val="24"/>
          <w:szCs w:val="24"/>
        </w:rPr>
        <w:t>.</w:t>
      </w:r>
      <w:r w:rsidR="00352E3D">
        <w:rPr>
          <w:rFonts w:asciiTheme="majorBidi" w:hAnsiTheme="majorBidi" w:cstheme="majorBidi"/>
          <w:sz w:val="24"/>
          <w:szCs w:val="24"/>
        </w:rPr>
        <w:t>”</w:t>
      </w:r>
      <w:r w:rsidR="00770CB7">
        <w:rPr>
          <w:rStyle w:val="FootnoteReference"/>
          <w:rFonts w:asciiTheme="majorBidi" w:hAnsiTheme="majorBidi" w:cstheme="majorBidi"/>
          <w:sz w:val="24"/>
          <w:szCs w:val="24"/>
        </w:rPr>
        <w:footnoteReference w:id="1"/>
      </w:r>
      <w:r w:rsidR="00770CB7">
        <w:rPr>
          <w:rFonts w:asciiTheme="majorBidi" w:hAnsiTheme="majorBidi" w:cstheme="majorBidi"/>
          <w:sz w:val="24"/>
          <w:szCs w:val="24"/>
        </w:rPr>
        <w:t xml:space="preserve"> </w:t>
      </w:r>
      <w:r w:rsidR="002D4FFF">
        <w:rPr>
          <w:rFonts w:asciiTheme="majorBidi" w:hAnsiTheme="majorBidi" w:cstheme="majorBidi"/>
          <w:sz w:val="24"/>
          <w:szCs w:val="24"/>
        </w:rPr>
        <w:t xml:space="preserve">Riset itu melihat pentingnya melibatkan hidup peserta didik sebagai basis pengembangan dalam pendidikan yang akan diajarkan. </w:t>
      </w:r>
      <w:r w:rsidR="003E1CF0">
        <w:rPr>
          <w:rFonts w:asciiTheme="majorBidi" w:hAnsiTheme="majorBidi" w:cstheme="majorBidi"/>
          <w:sz w:val="24"/>
          <w:szCs w:val="24"/>
        </w:rPr>
        <w:t>Pendidikan Holistik dipaparkan sebagai sebuah model pendidikan yang melibatkan pendekatan filosofis dan memiliki empat dimensi penting yang bisa terapkan selama pembelajaran sebagai korelasi dengan tujuan yang hendak dicapai.</w:t>
      </w:r>
      <w:r w:rsidR="00EB24FB">
        <w:rPr>
          <w:rFonts w:asciiTheme="majorBidi" w:hAnsiTheme="majorBidi" w:cstheme="majorBidi"/>
          <w:sz w:val="24"/>
          <w:szCs w:val="24"/>
        </w:rPr>
        <w:t xml:space="preserve"> </w:t>
      </w:r>
    </w:p>
    <w:p w:rsidR="0075181D" w:rsidRDefault="000E0833" w:rsidP="00770CB7">
      <w:pPr>
        <w:jc w:val="both"/>
        <w:rPr>
          <w:rFonts w:asciiTheme="majorBidi" w:hAnsiTheme="majorBidi" w:cstheme="majorBidi"/>
          <w:sz w:val="24"/>
          <w:szCs w:val="24"/>
        </w:rPr>
      </w:pPr>
      <w:r>
        <w:rPr>
          <w:rFonts w:asciiTheme="majorBidi" w:hAnsiTheme="majorBidi" w:cstheme="majorBidi"/>
          <w:sz w:val="24"/>
          <w:szCs w:val="24"/>
        </w:rPr>
        <w:tab/>
      </w:r>
      <w:r w:rsidR="00EB24FB">
        <w:rPr>
          <w:rFonts w:asciiTheme="majorBidi" w:hAnsiTheme="majorBidi" w:cstheme="majorBidi"/>
          <w:sz w:val="24"/>
          <w:szCs w:val="24"/>
        </w:rPr>
        <w:t>Sebelum tulisan Jafari, dkk terbit, pada tahun 2008 telah terbit sebuah disertasi yang ditulis oleh Lucita T. Rudge dengan judul, “</w:t>
      </w:r>
      <w:r>
        <w:rPr>
          <w:rFonts w:asciiTheme="majorBidi" w:hAnsiTheme="majorBidi" w:cstheme="majorBidi"/>
          <w:sz w:val="24"/>
          <w:szCs w:val="24"/>
        </w:rPr>
        <w:t>Holistic Education: An Analysis of Its Pedagogical Aplication.”</w:t>
      </w:r>
      <w:r w:rsidR="006D5554">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Riset Lucita ini menarik kesimpulan hadirnya konsep pendidikan Holistik pada pertengahan tahun 1980an sebagai respon atas krisisnya sistem pendidikan yang relevan. Lucita juga berkesimpulan bahwa watak dari pendidikan holistik ini lebih sebagai upaya penggabungan antara spiritual dan kemanusiaan.</w:t>
      </w:r>
      <w:r w:rsidR="006D5554">
        <w:rPr>
          <w:rFonts w:asciiTheme="majorBidi" w:hAnsiTheme="majorBidi" w:cstheme="majorBidi"/>
          <w:sz w:val="24"/>
          <w:szCs w:val="24"/>
        </w:rPr>
        <w:t xml:space="preserve"> </w:t>
      </w:r>
    </w:p>
    <w:p w:rsidR="00337BEC" w:rsidRDefault="0075181D" w:rsidP="0075181D">
      <w:pPr>
        <w:jc w:val="both"/>
        <w:rPr>
          <w:rFonts w:asciiTheme="majorBidi" w:hAnsiTheme="majorBidi" w:cstheme="majorBidi"/>
          <w:sz w:val="24"/>
          <w:szCs w:val="24"/>
        </w:rPr>
      </w:pPr>
      <w:r>
        <w:rPr>
          <w:rFonts w:asciiTheme="majorBidi" w:hAnsiTheme="majorBidi" w:cstheme="majorBidi"/>
          <w:sz w:val="24"/>
          <w:szCs w:val="24"/>
        </w:rPr>
        <w:tab/>
        <w:t>Riset lain terkait pendidikan Holistik dan implementasinya juga dilakukan berbasis pada studi lapangan antara lain dilakukan oleh Wikanti Iffah Juliani dan Hendro Wibowo dengan judul, “Integrasi Empat Pilar Pendidikan UNESCO Melalui Pendidikan Holistik Berbasis Karakter di SMP Muhammadiyah 1 Prambanan</w:t>
      </w:r>
      <w:r w:rsidR="002005B7">
        <w:rPr>
          <w:rFonts w:asciiTheme="majorBidi" w:hAnsiTheme="majorBidi" w:cstheme="majorBidi"/>
          <w:sz w:val="24"/>
          <w:szCs w:val="24"/>
        </w:rPr>
        <w:t>.”</w:t>
      </w:r>
      <w:r w:rsidR="002005B7">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r w:rsidR="00E159ED">
        <w:rPr>
          <w:rFonts w:asciiTheme="majorBidi" w:hAnsiTheme="majorBidi" w:cstheme="majorBidi"/>
          <w:sz w:val="24"/>
          <w:szCs w:val="24"/>
        </w:rPr>
        <w:t xml:space="preserve">Riset ini melihat integrasi konsep pendidikan yang ditawarkan oleh Unesco dengan praktik Pendidikan Holistik yang diimplementasikan melalui kegiatan-kegiatan di sekolah seperti shalat Duha, pembinaan prestasi, pendidikan karakter, dan peduli terhadap lingkungan. </w:t>
      </w:r>
    </w:p>
    <w:p w:rsidR="00F344B4" w:rsidRDefault="00337BEC" w:rsidP="0075181D">
      <w:pPr>
        <w:jc w:val="both"/>
        <w:rPr>
          <w:rFonts w:asciiTheme="majorBidi" w:hAnsiTheme="majorBidi" w:cstheme="majorBidi"/>
          <w:sz w:val="24"/>
          <w:szCs w:val="24"/>
        </w:rPr>
      </w:pPr>
      <w:r>
        <w:rPr>
          <w:rFonts w:asciiTheme="majorBidi" w:hAnsiTheme="majorBidi" w:cstheme="majorBidi"/>
          <w:sz w:val="24"/>
          <w:szCs w:val="24"/>
        </w:rPr>
        <w:tab/>
        <w:t xml:space="preserve">Riset Wikanti memiliki kesamaan dengan riset </w:t>
      </w:r>
      <w:r w:rsidR="0066188B">
        <w:rPr>
          <w:rFonts w:asciiTheme="majorBidi" w:hAnsiTheme="majorBidi" w:cstheme="majorBidi"/>
          <w:sz w:val="24"/>
          <w:szCs w:val="24"/>
        </w:rPr>
        <w:t>Aminah, dkk</w:t>
      </w:r>
      <w:r>
        <w:rPr>
          <w:rFonts w:asciiTheme="majorBidi" w:hAnsiTheme="majorBidi" w:cstheme="majorBidi"/>
          <w:sz w:val="24"/>
          <w:szCs w:val="24"/>
        </w:rPr>
        <w:t xml:space="preserve"> dalam koteks korelasi kegiatan-kegiatan spiritual</w:t>
      </w:r>
      <w:r w:rsidR="0066188B">
        <w:rPr>
          <w:rFonts w:asciiTheme="majorBidi" w:hAnsiTheme="majorBidi" w:cstheme="majorBidi"/>
          <w:sz w:val="24"/>
          <w:szCs w:val="24"/>
        </w:rPr>
        <w:t xml:space="preserve"> sebagai mediator terlaksananya pendidikan Holistik, meskipun Aminah</w:t>
      </w:r>
      <w:r w:rsidR="009564F9">
        <w:rPr>
          <w:rFonts w:asciiTheme="majorBidi" w:hAnsiTheme="majorBidi" w:cstheme="majorBidi"/>
          <w:sz w:val="24"/>
          <w:szCs w:val="24"/>
        </w:rPr>
        <w:t>, dkk</w:t>
      </w:r>
      <w:r w:rsidR="0066188B">
        <w:rPr>
          <w:rFonts w:asciiTheme="majorBidi" w:hAnsiTheme="majorBidi" w:cstheme="majorBidi"/>
          <w:sz w:val="24"/>
          <w:szCs w:val="24"/>
        </w:rPr>
        <w:t xml:space="preserve"> justru menyebutnya dengan Metakognitif.</w:t>
      </w:r>
      <w:r w:rsidR="009564F9">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009564F9">
        <w:rPr>
          <w:rFonts w:asciiTheme="majorBidi" w:hAnsiTheme="majorBidi" w:cstheme="majorBidi"/>
          <w:sz w:val="24"/>
          <w:szCs w:val="24"/>
        </w:rPr>
        <w:t xml:space="preserve">Aminah, dkk mengaitkan peran penting Al-Qur’an yang posisinya sebagai kitab suci sebagai tuntunan untuk membuka unsur spiritual peserta didik. </w:t>
      </w:r>
      <w:r w:rsidR="00CC064E">
        <w:rPr>
          <w:rFonts w:asciiTheme="majorBidi" w:hAnsiTheme="majorBidi" w:cstheme="majorBidi"/>
          <w:sz w:val="24"/>
          <w:szCs w:val="24"/>
        </w:rPr>
        <w:t>Aminah, dkk tidak menyentuh sama sekali ayat-ayat yan</w:t>
      </w:r>
      <w:r w:rsidR="00F344B4">
        <w:rPr>
          <w:rFonts w:asciiTheme="majorBidi" w:hAnsiTheme="majorBidi" w:cstheme="majorBidi"/>
          <w:sz w:val="24"/>
          <w:szCs w:val="24"/>
        </w:rPr>
        <w:t>g bisa dijadikan sebagai pedoman</w:t>
      </w:r>
      <w:r w:rsidR="00CC064E">
        <w:rPr>
          <w:rFonts w:asciiTheme="majorBidi" w:hAnsiTheme="majorBidi" w:cstheme="majorBidi"/>
          <w:sz w:val="24"/>
          <w:szCs w:val="24"/>
        </w:rPr>
        <w:t xml:space="preserve"> untuk terselenggaranya Pendidikan Holistik. </w:t>
      </w:r>
    </w:p>
    <w:p w:rsidR="002A4A5A" w:rsidRDefault="00F344B4" w:rsidP="003162A0">
      <w:pPr>
        <w:jc w:val="both"/>
        <w:rPr>
          <w:rFonts w:asciiTheme="majorBidi" w:hAnsiTheme="majorBidi" w:cstheme="majorBidi"/>
          <w:sz w:val="24"/>
          <w:szCs w:val="24"/>
        </w:rPr>
      </w:pPr>
      <w:r>
        <w:rPr>
          <w:rFonts w:asciiTheme="majorBidi" w:hAnsiTheme="majorBidi" w:cstheme="majorBidi"/>
          <w:sz w:val="24"/>
          <w:szCs w:val="24"/>
        </w:rPr>
        <w:tab/>
        <w:t>Kajian lain yang masih relevan pernah dilakukan oleh M. Zainuddin dengan judul, “Paradigma Pendidikan Islam Holistik,”</w:t>
      </w:r>
      <w:r w:rsidR="00BC5014">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dan Amie Primarni</w:t>
      </w:r>
      <w:r w:rsidR="009564F9">
        <w:rPr>
          <w:rFonts w:asciiTheme="majorBidi" w:hAnsiTheme="majorBidi" w:cstheme="majorBidi"/>
          <w:sz w:val="24"/>
          <w:szCs w:val="24"/>
        </w:rPr>
        <w:t xml:space="preserve"> </w:t>
      </w:r>
      <w:r>
        <w:rPr>
          <w:rFonts w:asciiTheme="majorBidi" w:hAnsiTheme="majorBidi" w:cstheme="majorBidi"/>
          <w:sz w:val="24"/>
          <w:szCs w:val="24"/>
        </w:rPr>
        <w:t>dengan judul, “</w:t>
      </w:r>
      <w:r w:rsidR="00543CAB">
        <w:rPr>
          <w:rFonts w:asciiTheme="majorBidi" w:hAnsiTheme="majorBidi" w:cstheme="majorBidi"/>
          <w:sz w:val="24"/>
          <w:szCs w:val="24"/>
        </w:rPr>
        <w:t xml:space="preserve">Konsep Pendidikan </w:t>
      </w:r>
      <w:r w:rsidR="00543CAB">
        <w:rPr>
          <w:rFonts w:asciiTheme="majorBidi" w:hAnsiTheme="majorBidi" w:cstheme="majorBidi"/>
          <w:sz w:val="24"/>
          <w:szCs w:val="24"/>
        </w:rPr>
        <w:lastRenderedPageBreak/>
        <w:t>Holistik dalam Perspektif Islam.”</w:t>
      </w:r>
      <w:r w:rsidR="003162A0">
        <w:rPr>
          <w:rStyle w:val="FootnoteReference"/>
          <w:rFonts w:asciiTheme="majorBidi" w:hAnsiTheme="majorBidi" w:cstheme="majorBidi"/>
          <w:sz w:val="24"/>
          <w:szCs w:val="24"/>
        </w:rPr>
        <w:footnoteReference w:id="6"/>
      </w:r>
      <w:r w:rsidR="00A200A4">
        <w:rPr>
          <w:rFonts w:asciiTheme="majorBidi" w:hAnsiTheme="majorBidi" w:cstheme="majorBidi"/>
          <w:sz w:val="24"/>
          <w:szCs w:val="24"/>
        </w:rPr>
        <w:t xml:space="preserve"> Dua riset tersebut memiliki arah yang tidak jauh berbeda </w:t>
      </w:r>
      <w:r w:rsidR="007A75FB">
        <w:rPr>
          <w:rFonts w:asciiTheme="majorBidi" w:hAnsiTheme="majorBidi" w:cstheme="majorBidi"/>
          <w:sz w:val="24"/>
          <w:szCs w:val="24"/>
        </w:rPr>
        <w:t xml:space="preserve">yang berkesimpulan </w:t>
      </w:r>
      <w:r w:rsidR="00A200A4">
        <w:rPr>
          <w:rFonts w:asciiTheme="majorBidi" w:hAnsiTheme="majorBidi" w:cstheme="majorBidi"/>
          <w:sz w:val="24"/>
          <w:szCs w:val="24"/>
        </w:rPr>
        <w:t>bahwa tujuan dari pendidikan Islam pada ranah teo-antropo</w:t>
      </w:r>
      <w:r w:rsidR="007A75FB">
        <w:rPr>
          <w:rFonts w:asciiTheme="majorBidi" w:hAnsiTheme="majorBidi" w:cstheme="majorBidi"/>
          <w:sz w:val="24"/>
          <w:szCs w:val="24"/>
        </w:rPr>
        <w:t>sentris yaitu antara melibatkan unsur</w:t>
      </w:r>
      <w:r w:rsidR="00A200A4">
        <w:rPr>
          <w:rFonts w:asciiTheme="majorBidi" w:hAnsiTheme="majorBidi" w:cstheme="majorBidi"/>
          <w:sz w:val="24"/>
          <w:szCs w:val="24"/>
        </w:rPr>
        <w:t xml:space="preserve"> </w:t>
      </w:r>
      <w:r w:rsidR="00A200A4" w:rsidRPr="00A200A4">
        <w:rPr>
          <w:rFonts w:asciiTheme="majorBidi" w:hAnsiTheme="majorBidi" w:cstheme="majorBidi"/>
          <w:i/>
          <w:iCs/>
          <w:sz w:val="24"/>
          <w:szCs w:val="24"/>
        </w:rPr>
        <w:t>ilahiyyah</w:t>
      </w:r>
      <w:r w:rsidR="00A200A4">
        <w:rPr>
          <w:rFonts w:asciiTheme="majorBidi" w:hAnsiTheme="majorBidi" w:cstheme="majorBidi"/>
          <w:sz w:val="24"/>
          <w:szCs w:val="24"/>
        </w:rPr>
        <w:t xml:space="preserve"> dan </w:t>
      </w:r>
      <w:r w:rsidR="00A200A4" w:rsidRPr="00A200A4">
        <w:rPr>
          <w:rFonts w:asciiTheme="majorBidi" w:hAnsiTheme="majorBidi" w:cstheme="majorBidi"/>
          <w:i/>
          <w:iCs/>
          <w:sz w:val="24"/>
          <w:szCs w:val="24"/>
        </w:rPr>
        <w:t>insaniyyah</w:t>
      </w:r>
      <w:r w:rsidR="00A200A4">
        <w:rPr>
          <w:rFonts w:asciiTheme="majorBidi" w:hAnsiTheme="majorBidi" w:cstheme="majorBidi"/>
          <w:sz w:val="24"/>
          <w:szCs w:val="24"/>
        </w:rPr>
        <w:t>.</w:t>
      </w:r>
      <w:r w:rsidR="00543CAB">
        <w:rPr>
          <w:rFonts w:asciiTheme="majorBidi" w:hAnsiTheme="majorBidi" w:cstheme="majorBidi"/>
          <w:sz w:val="24"/>
          <w:szCs w:val="24"/>
        </w:rPr>
        <w:t xml:space="preserve"> </w:t>
      </w:r>
      <w:r w:rsidR="00A200A4">
        <w:rPr>
          <w:rFonts w:asciiTheme="majorBidi" w:hAnsiTheme="majorBidi" w:cstheme="majorBidi"/>
          <w:sz w:val="24"/>
          <w:szCs w:val="24"/>
        </w:rPr>
        <w:t>Meskipun</w:t>
      </w:r>
      <w:r w:rsidR="003162A0">
        <w:rPr>
          <w:rFonts w:asciiTheme="majorBidi" w:hAnsiTheme="majorBidi" w:cstheme="majorBidi"/>
          <w:sz w:val="24"/>
          <w:szCs w:val="24"/>
        </w:rPr>
        <w:t xml:space="preserve"> demikian</w:t>
      </w:r>
      <w:r w:rsidR="00A200A4">
        <w:rPr>
          <w:rFonts w:asciiTheme="majorBidi" w:hAnsiTheme="majorBidi" w:cstheme="majorBidi"/>
          <w:sz w:val="24"/>
          <w:szCs w:val="24"/>
        </w:rPr>
        <w:t xml:space="preserve"> </w:t>
      </w:r>
      <w:r w:rsidR="003162A0">
        <w:rPr>
          <w:rFonts w:asciiTheme="majorBidi" w:hAnsiTheme="majorBidi" w:cstheme="majorBidi"/>
          <w:sz w:val="24"/>
          <w:szCs w:val="24"/>
        </w:rPr>
        <w:t xml:space="preserve">dalam dua riset itu </w:t>
      </w:r>
      <w:r w:rsidR="00A200A4">
        <w:rPr>
          <w:rFonts w:asciiTheme="majorBidi" w:hAnsiTheme="majorBidi" w:cstheme="majorBidi"/>
          <w:sz w:val="24"/>
          <w:szCs w:val="24"/>
        </w:rPr>
        <w:t xml:space="preserve">tidak banyak </w:t>
      </w:r>
      <w:r w:rsidR="0039284E">
        <w:rPr>
          <w:rFonts w:asciiTheme="majorBidi" w:hAnsiTheme="majorBidi" w:cstheme="majorBidi"/>
          <w:sz w:val="24"/>
          <w:szCs w:val="24"/>
        </w:rPr>
        <w:t xml:space="preserve">melakukan </w:t>
      </w:r>
      <w:r w:rsidR="00A200A4">
        <w:rPr>
          <w:rFonts w:asciiTheme="majorBidi" w:hAnsiTheme="majorBidi" w:cstheme="majorBidi"/>
          <w:sz w:val="24"/>
          <w:szCs w:val="24"/>
        </w:rPr>
        <w:t xml:space="preserve">kajian </w:t>
      </w:r>
      <w:r w:rsidR="002A4A5A">
        <w:rPr>
          <w:rFonts w:asciiTheme="majorBidi" w:hAnsiTheme="majorBidi" w:cstheme="majorBidi"/>
          <w:sz w:val="24"/>
          <w:szCs w:val="24"/>
        </w:rPr>
        <w:t xml:space="preserve">atas </w:t>
      </w:r>
      <w:r w:rsidR="00A200A4">
        <w:rPr>
          <w:rFonts w:asciiTheme="majorBidi" w:hAnsiTheme="majorBidi" w:cstheme="majorBidi"/>
          <w:sz w:val="24"/>
          <w:szCs w:val="24"/>
        </w:rPr>
        <w:t>ayat-ayat Al-Qur’</w:t>
      </w:r>
      <w:r w:rsidR="007A75FB">
        <w:rPr>
          <w:rFonts w:asciiTheme="majorBidi" w:hAnsiTheme="majorBidi" w:cstheme="majorBidi"/>
          <w:sz w:val="24"/>
          <w:szCs w:val="24"/>
        </w:rPr>
        <w:t>an</w:t>
      </w:r>
      <w:r w:rsidR="00A200A4">
        <w:rPr>
          <w:rFonts w:asciiTheme="majorBidi" w:hAnsiTheme="majorBidi" w:cstheme="majorBidi"/>
          <w:sz w:val="24"/>
          <w:szCs w:val="24"/>
        </w:rPr>
        <w:t>.</w:t>
      </w:r>
      <w:r w:rsidR="00E159ED">
        <w:rPr>
          <w:rFonts w:asciiTheme="majorBidi" w:hAnsiTheme="majorBidi" w:cstheme="majorBidi"/>
          <w:sz w:val="24"/>
          <w:szCs w:val="24"/>
        </w:rPr>
        <w:t xml:space="preserve"> </w:t>
      </w:r>
    </w:p>
    <w:p w:rsidR="00D81739" w:rsidRDefault="0039284E" w:rsidP="00D81739">
      <w:pPr>
        <w:jc w:val="both"/>
        <w:rPr>
          <w:rFonts w:asciiTheme="majorBidi" w:hAnsiTheme="majorBidi" w:cstheme="majorBidi"/>
          <w:sz w:val="24"/>
          <w:szCs w:val="24"/>
        </w:rPr>
      </w:pPr>
      <w:r>
        <w:rPr>
          <w:rFonts w:asciiTheme="majorBidi" w:hAnsiTheme="majorBidi" w:cstheme="majorBidi"/>
          <w:sz w:val="24"/>
          <w:szCs w:val="24"/>
        </w:rPr>
        <w:tab/>
        <w:t xml:space="preserve">Artinya peluang untuk meneliti konsep Pendidikan Holistik perspektif Al-Qur’an ini masih terbuka meskipun terlihat normatif, untuk itu penulis menggunakan teori Maqashid al-Syariah Jasser Auda sebagai alat untuk memahami pesan penting dari ayat-ayat pendidikan. </w:t>
      </w:r>
      <w:r w:rsidR="00D02FC2">
        <w:rPr>
          <w:rFonts w:asciiTheme="majorBidi" w:hAnsiTheme="majorBidi" w:cstheme="majorBidi"/>
          <w:sz w:val="24"/>
          <w:szCs w:val="24"/>
        </w:rPr>
        <w:t xml:space="preserve">Maqashid al-Syariah yang digagas oleh Jasser Auda ini merupakan pengembangan </w:t>
      </w:r>
      <w:r w:rsidR="00D02FC2" w:rsidRPr="00D02FC2">
        <w:rPr>
          <w:rFonts w:asciiTheme="majorBidi" w:hAnsiTheme="majorBidi" w:cstheme="majorBidi"/>
          <w:i/>
          <w:iCs/>
          <w:sz w:val="24"/>
          <w:szCs w:val="24"/>
        </w:rPr>
        <w:t>maqashid</w:t>
      </w:r>
      <w:r w:rsidR="00D02FC2">
        <w:rPr>
          <w:rFonts w:asciiTheme="majorBidi" w:hAnsiTheme="majorBidi" w:cstheme="majorBidi"/>
          <w:sz w:val="24"/>
          <w:szCs w:val="24"/>
        </w:rPr>
        <w:t xml:space="preserve"> di era kontemporer. Belakangan gagasan Jasser Auda ini banyak memantik para peminat kajian untuk diliba</w:t>
      </w:r>
      <w:r w:rsidR="00C3015E">
        <w:rPr>
          <w:rFonts w:asciiTheme="majorBidi" w:hAnsiTheme="majorBidi" w:cstheme="majorBidi"/>
          <w:sz w:val="24"/>
          <w:szCs w:val="24"/>
        </w:rPr>
        <w:t>tkan d</w:t>
      </w:r>
      <w:r w:rsidR="006E237F">
        <w:rPr>
          <w:rFonts w:asciiTheme="majorBidi" w:hAnsiTheme="majorBidi" w:cstheme="majorBidi"/>
          <w:sz w:val="24"/>
          <w:szCs w:val="24"/>
        </w:rPr>
        <w:t>alam studi tafsir tematik,</w:t>
      </w:r>
      <w:r w:rsidR="00C3015E">
        <w:rPr>
          <w:rFonts w:asciiTheme="majorBidi" w:hAnsiTheme="majorBidi" w:cstheme="majorBidi"/>
          <w:sz w:val="24"/>
          <w:szCs w:val="24"/>
        </w:rPr>
        <w:t xml:space="preserve"> studi hukum Islam</w:t>
      </w:r>
      <w:r w:rsidR="006E237F">
        <w:rPr>
          <w:rFonts w:asciiTheme="majorBidi" w:hAnsiTheme="majorBidi" w:cstheme="majorBidi"/>
          <w:sz w:val="24"/>
          <w:szCs w:val="24"/>
        </w:rPr>
        <w:t xml:space="preserve"> dan juga penerapannya pada bidang pendidikan</w:t>
      </w:r>
      <w:r w:rsidR="00C3015E">
        <w:rPr>
          <w:rFonts w:asciiTheme="majorBidi" w:hAnsiTheme="majorBidi" w:cstheme="majorBidi"/>
          <w:sz w:val="24"/>
          <w:szCs w:val="24"/>
        </w:rPr>
        <w:t>. Kajian yang dilakukan oleh Syukur Prihantoro dengan judul, “</w:t>
      </w:r>
      <w:r w:rsidR="00C3015E" w:rsidRPr="00CB7E92">
        <w:rPr>
          <w:rFonts w:asciiTheme="majorBidi" w:hAnsiTheme="majorBidi" w:cstheme="majorBidi"/>
          <w:i/>
          <w:iCs/>
          <w:sz w:val="24"/>
          <w:szCs w:val="24"/>
        </w:rPr>
        <w:t xml:space="preserve">Maqashid al-Syariah </w:t>
      </w:r>
      <w:r w:rsidR="00C3015E">
        <w:rPr>
          <w:rFonts w:asciiTheme="majorBidi" w:hAnsiTheme="majorBidi" w:cstheme="majorBidi"/>
          <w:sz w:val="24"/>
          <w:szCs w:val="24"/>
        </w:rPr>
        <w:t>dalam Pandangan Jasser Auda: Sebuah Upaya Rekonstruksi Hukum Islam Melalui Pendekatan Sistem.”</w:t>
      </w:r>
      <w:r w:rsidR="007152AF">
        <w:rPr>
          <w:rFonts w:asciiTheme="majorBidi" w:hAnsiTheme="majorBidi" w:cstheme="majorBidi"/>
          <w:sz w:val="24"/>
          <w:szCs w:val="24"/>
        </w:rPr>
        <w:t xml:space="preserve"> Tidak jauh berbeda dengan yang dilakukan oleh Retna Gumanti dengan judul, “</w:t>
      </w:r>
      <w:r w:rsidR="007152AF" w:rsidRPr="00CB7E92">
        <w:rPr>
          <w:rFonts w:asciiTheme="majorBidi" w:hAnsiTheme="majorBidi" w:cstheme="majorBidi"/>
          <w:i/>
          <w:iCs/>
          <w:sz w:val="24"/>
          <w:szCs w:val="24"/>
        </w:rPr>
        <w:t>Maqashid al-Syariah</w:t>
      </w:r>
      <w:r w:rsidR="007152AF">
        <w:rPr>
          <w:rFonts w:asciiTheme="majorBidi" w:hAnsiTheme="majorBidi" w:cstheme="majorBidi"/>
          <w:sz w:val="24"/>
          <w:szCs w:val="24"/>
        </w:rPr>
        <w:t xml:space="preserve"> Menurut Jasser Auda: Pend</w:t>
      </w:r>
      <w:r w:rsidR="000E4BA3">
        <w:rPr>
          <w:rFonts w:asciiTheme="majorBidi" w:hAnsiTheme="majorBidi" w:cstheme="majorBidi"/>
          <w:sz w:val="24"/>
          <w:szCs w:val="24"/>
        </w:rPr>
        <w:t>ekatan Sistem dalam Hukum Islam.</w:t>
      </w:r>
      <w:r w:rsidR="007152AF">
        <w:rPr>
          <w:rFonts w:asciiTheme="majorBidi" w:hAnsiTheme="majorBidi" w:cstheme="majorBidi"/>
          <w:sz w:val="24"/>
          <w:szCs w:val="24"/>
        </w:rPr>
        <w:t>”</w:t>
      </w:r>
      <w:r w:rsidR="00D81739">
        <w:rPr>
          <w:rStyle w:val="FootnoteReference"/>
          <w:rFonts w:asciiTheme="majorBidi" w:hAnsiTheme="majorBidi" w:cstheme="majorBidi"/>
          <w:sz w:val="24"/>
          <w:szCs w:val="24"/>
        </w:rPr>
        <w:footnoteReference w:id="7"/>
      </w:r>
      <w:r w:rsidR="00D81739">
        <w:rPr>
          <w:rFonts w:asciiTheme="majorBidi" w:hAnsiTheme="majorBidi" w:cstheme="majorBidi"/>
          <w:sz w:val="24"/>
          <w:szCs w:val="24"/>
        </w:rPr>
        <w:t xml:space="preserve"> Keduanya mengurai secara historis dan metodologis </w:t>
      </w:r>
      <w:r w:rsidR="00D81739" w:rsidRPr="00D81739">
        <w:rPr>
          <w:rFonts w:asciiTheme="majorBidi" w:hAnsiTheme="majorBidi" w:cstheme="majorBidi"/>
          <w:i/>
          <w:iCs/>
          <w:sz w:val="24"/>
          <w:szCs w:val="24"/>
        </w:rPr>
        <w:t>maqashid al-Syariah</w:t>
      </w:r>
      <w:r w:rsidR="00D81739">
        <w:rPr>
          <w:rFonts w:asciiTheme="majorBidi" w:hAnsiTheme="majorBidi" w:cstheme="majorBidi"/>
          <w:sz w:val="24"/>
          <w:szCs w:val="24"/>
        </w:rPr>
        <w:t xml:space="preserve"> Jasser sebagai landasan untuk menghasilkan keputusan hukum Islam secara tepat. </w:t>
      </w:r>
    </w:p>
    <w:p w:rsidR="0039284E" w:rsidRDefault="00D81739" w:rsidP="00D81739">
      <w:pPr>
        <w:jc w:val="both"/>
        <w:rPr>
          <w:rFonts w:asciiTheme="majorBidi" w:hAnsiTheme="majorBidi" w:cstheme="majorBidi"/>
          <w:sz w:val="24"/>
          <w:szCs w:val="24"/>
        </w:rPr>
      </w:pPr>
      <w:r>
        <w:rPr>
          <w:rFonts w:asciiTheme="majorBidi" w:hAnsiTheme="majorBidi" w:cstheme="majorBidi"/>
          <w:sz w:val="24"/>
          <w:szCs w:val="24"/>
        </w:rPr>
        <w:tab/>
      </w:r>
      <w:r w:rsidR="007152AF">
        <w:rPr>
          <w:rFonts w:asciiTheme="majorBidi" w:hAnsiTheme="majorBidi" w:cstheme="majorBidi"/>
          <w:sz w:val="24"/>
          <w:szCs w:val="24"/>
        </w:rPr>
        <w:t xml:space="preserve"> </w:t>
      </w:r>
      <w:r w:rsidR="00D02FC2">
        <w:rPr>
          <w:rFonts w:asciiTheme="majorBidi" w:hAnsiTheme="majorBidi" w:cstheme="majorBidi"/>
          <w:sz w:val="24"/>
          <w:szCs w:val="24"/>
        </w:rPr>
        <w:t xml:space="preserve"> </w:t>
      </w:r>
      <w:r w:rsidR="006E237F">
        <w:rPr>
          <w:rFonts w:asciiTheme="majorBidi" w:hAnsiTheme="majorBidi" w:cstheme="majorBidi"/>
          <w:sz w:val="24"/>
          <w:szCs w:val="24"/>
        </w:rPr>
        <w:t xml:space="preserve">Riset lain yang mencoba menerapkan teori </w:t>
      </w:r>
      <w:r w:rsidR="006E237F" w:rsidRPr="006E237F">
        <w:rPr>
          <w:rFonts w:asciiTheme="majorBidi" w:hAnsiTheme="majorBidi" w:cstheme="majorBidi"/>
          <w:i/>
          <w:iCs/>
          <w:sz w:val="24"/>
          <w:szCs w:val="24"/>
        </w:rPr>
        <w:t>maqashid al-Syariah</w:t>
      </w:r>
      <w:r w:rsidR="006E237F">
        <w:rPr>
          <w:rFonts w:asciiTheme="majorBidi" w:hAnsiTheme="majorBidi" w:cstheme="majorBidi"/>
          <w:sz w:val="24"/>
          <w:szCs w:val="24"/>
        </w:rPr>
        <w:t xml:space="preserve"> Jasser Auda pada ranah pendidikan pernah dilakukan oleh </w:t>
      </w:r>
      <w:r w:rsidR="002B3E0A">
        <w:rPr>
          <w:rFonts w:asciiTheme="majorBidi" w:hAnsiTheme="majorBidi" w:cstheme="majorBidi"/>
          <w:sz w:val="24"/>
          <w:szCs w:val="24"/>
        </w:rPr>
        <w:t xml:space="preserve">Siti Mutholingah dan Moh. </w:t>
      </w:r>
      <w:r w:rsidR="00956144">
        <w:rPr>
          <w:rFonts w:asciiTheme="majorBidi" w:hAnsiTheme="majorBidi" w:cstheme="majorBidi"/>
          <w:sz w:val="24"/>
          <w:szCs w:val="24"/>
        </w:rPr>
        <w:t>Ro</w:t>
      </w:r>
      <w:r w:rsidR="002B3E0A">
        <w:rPr>
          <w:rFonts w:asciiTheme="majorBidi" w:hAnsiTheme="majorBidi" w:cstheme="majorBidi"/>
          <w:sz w:val="24"/>
          <w:szCs w:val="24"/>
        </w:rPr>
        <w:t>d</w:t>
      </w:r>
      <w:r w:rsidR="00956144">
        <w:rPr>
          <w:rFonts w:asciiTheme="majorBidi" w:hAnsiTheme="majorBidi" w:cstheme="majorBidi"/>
          <w:sz w:val="24"/>
          <w:szCs w:val="24"/>
        </w:rPr>
        <w:t>h</w:t>
      </w:r>
      <w:r w:rsidR="002B3E0A">
        <w:rPr>
          <w:rFonts w:asciiTheme="majorBidi" w:hAnsiTheme="majorBidi" w:cstheme="majorBidi"/>
          <w:sz w:val="24"/>
          <w:szCs w:val="24"/>
        </w:rPr>
        <w:t>i Zamzami dengan judul, “</w:t>
      </w:r>
      <w:r w:rsidR="00956144">
        <w:rPr>
          <w:rFonts w:asciiTheme="majorBidi" w:hAnsiTheme="majorBidi" w:cstheme="majorBidi"/>
          <w:sz w:val="24"/>
          <w:szCs w:val="24"/>
        </w:rPr>
        <w:t>Relevansi Pemikiran Maqashid al-Syariah Jasser Auda Terhadap Sistem Pendidikan Multidisipliner.”</w:t>
      </w:r>
      <w:r w:rsidR="001C42C3">
        <w:rPr>
          <w:rStyle w:val="FootnoteReference"/>
          <w:rFonts w:asciiTheme="majorBidi" w:hAnsiTheme="majorBidi" w:cstheme="majorBidi"/>
          <w:sz w:val="24"/>
          <w:szCs w:val="24"/>
        </w:rPr>
        <w:footnoteReference w:id="8"/>
      </w:r>
      <w:r w:rsidR="001C42C3">
        <w:rPr>
          <w:rFonts w:asciiTheme="majorBidi" w:hAnsiTheme="majorBidi" w:cstheme="majorBidi"/>
          <w:sz w:val="24"/>
          <w:szCs w:val="24"/>
        </w:rPr>
        <w:t xml:space="preserve"> Dalam risetnya itu, Mutholingah dan Zamzami mengaitkan gagasan humanistik dan holistik dalam tujuan syariat yang ditawarkan oleh Auda dengan kepentingan pendidikan Islam multidisipliner yang memiliki kontribusi besar untuk umat. </w:t>
      </w:r>
      <w:r w:rsidR="00F90969">
        <w:rPr>
          <w:rFonts w:asciiTheme="majorBidi" w:hAnsiTheme="majorBidi" w:cstheme="majorBidi"/>
          <w:sz w:val="24"/>
          <w:szCs w:val="24"/>
        </w:rPr>
        <w:t xml:space="preserve">Meskipun </w:t>
      </w:r>
      <w:r w:rsidR="00FA632A">
        <w:rPr>
          <w:rFonts w:asciiTheme="majorBidi" w:hAnsiTheme="majorBidi" w:cstheme="majorBidi"/>
          <w:sz w:val="24"/>
          <w:szCs w:val="24"/>
        </w:rPr>
        <w:t>kajian ini tentang p</w:t>
      </w:r>
      <w:r w:rsidR="00F90969">
        <w:rPr>
          <w:rFonts w:asciiTheme="majorBidi" w:hAnsiTheme="majorBidi" w:cstheme="majorBidi"/>
          <w:sz w:val="24"/>
          <w:szCs w:val="24"/>
        </w:rPr>
        <w:t>endidikan Islam, tetapi tidak satupun ayat Al-Qur’an yang dilibatkan dalam memahami tujuan pendidikan Islam yang dimaksud.</w:t>
      </w:r>
    </w:p>
    <w:p w:rsidR="00F90969" w:rsidRDefault="00F90969" w:rsidP="00D4258F">
      <w:pPr>
        <w:jc w:val="both"/>
        <w:rPr>
          <w:rFonts w:asciiTheme="majorBidi" w:hAnsiTheme="majorBidi" w:cstheme="majorBidi"/>
          <w:sz w:val="24"/>
          <w:szCs w:val="24"/>
        </w:rPr>
      </w:pPr>
      <w:r>
        <w:rPr>
          <w:rFonts w:asciiTheme="majorBidi" w:hAnsiTheme="majorBidi" w:cstheme="majorBidi"/>
          <w:sz w:val="24"/>
          <w:szCs w:val="24"/>
        </w:rPr>
        <w:tab/>
      </w:r>
      <w:r w:rsidR="00C4440A">
        <w:rPr>
          <w:rFonts w:asciiTheme="majorBidi" w:hAnsiTheme="majorBidi" w:cstheme="majorBidi"/>
          <w:sz w:val="24"/>
          <w:szCs w:val="24"/>
        </w:rPr>
        <w:t xml:space="preserve">Studi ini merupakan upaya aplikatif atas teori </w:t>
      </w:r>
      <w:r w:rsidR="00C4440A" w:rsidRPr="00C4440A">
        <w:rPr>
          <w:rFonts w:asciiTheme="majorBidi" w:hAnsiTheme="majorBidi" w:cstheme="majorBidi"/>
          <w:i/>
          <w:iCs/>
          <w:sz w:val="24"/>
          <w:szCs w:val="24"/>
        </w:rPr>
        <w:t>Maqashid al-Syariah</w:t>
      </w:r>
      <w:r w:rsidR="00C4440A">
        <w:rPr>
          <w:rFonts w:asciiTheme="majorBidi" w:hAnsiTheme="majorBidi" w:cstheme="majorBidi"/>
          <w:sz w:val="24"/>
          <w:szCs w:val="24"/>
        </w:rPr>
        <w:t xml:space="preserve"> Jasser Auda untuk memahami ayat-ayat tentang Pendidikan dalam Al-Qur’an dengan tujuan untuk memahami lebih luas tentang pendidikan holistik yang sebenarnya ditawarkan oleh Al-Qur’an. </w:t>
      </w:r>
      <w:r w:rsidR="00D4258F">
        <w:rPr>
          <w:rFonts w:asciiTheme="majorBidi" w:hAnsiTheme="majorBidi" w:cstheme="majorBidi"/>
          <w:sz w:val="24"/>
          <w:szCs w:val="24"/>
        </w:rPr>
        <w:t xml:space="preserve">Tema pendidikan holistik meskipun sudah umum dan banyak dilihat oleh para peneliti tetapi masih perlu diperkaya lagi dengan pendekatan-pendekatan kontemporer dengan tujuan dapat memberikan kontribusi yang tepat. </w:t>
      </w:r>
      <w:r w:rsidR="00C4440A">
        <w:rPr>
          <w:rFonts w:asciiTheme="majorBidi" w:hAnsiTheme="majorBidi" w:cstheme="majorBidi"/>
          <w:sz w:val="24"/>
          <w:szCs w:val="24"/>
        </w:rPr>
        <w:t xml:space="preserve"> </w:t>
      </w:r>
    </w:p>
    <w:p w:rsidR="00D4258F" w:rsidRPr="00D4258F" w:rsidRDefault="00D4258F" w:rsidP="00D4258F">
      <w:pPr>
        <w:jc w:val="both"/>
        <w:rPr>
          <w:rFonts w:asciiTheme="majorBidi" w:hAnsiTheme="majorBidi" w:cstheme="majorBidi"/>
          <w:b/>
          <w:bCs/>
          <w:sz w:val="24"/>
          <w:szCs w:val="24"/>
        </w:rPr>
      </w:pPr>
      <w:r w:rsidRPr="00D4258F">
        <w:rPr>
          <w:rFonts w:asciiTheme="majorBidi" w:hAnsiTheme="majorBidi" w:cstheme="majorBidi"/>
          <w:b/>
          <w:bCs/>
          <w:sz w:val="24"/>
          <w:szCs w:val="24"/>
        </w:rPr>
        <w:t>PEMBAHASAN</w:t>
      </w:r>
    </w:p>
    <w:p w:rsidR="00BC3256" w:rsidRDefault="0045746F" w:rsidP="002A4A5A">
      <w:pPr>
        <w:ind w:firstLine="720"/>
        <w:rPr>
          <w:rFonts w:asciiTheme="majorBidi" w:hAnsiTheme="majorBidi" w:cstheme="majorBidi"/>
          <w:sz w:val="24"/>
          <w:szCs w:val="24"/>
        </w:rPr>
      </w:pPr>
      <w:r>
        <w:rPr>
          <w:rFonts w:asciiTheme="majorBidi" w:hAnsiTheme="majorBidi" w:cstheme="majorBidi"/>
          <w:sz w:val="24"/>
          <w:szCs w:val="24"/>
        </w:rPr>
        <w:t>1. Pendidikan Holistik</w:t>
      </w:r>
    </w:p>
    <w:p w:rsidR="0045746F" w:rsidRDefault="00DE788E" w:rsidP="00DE788E">
      <w:pPr>
        <w:ind w:firstLine="720"/>
        <w:jc w:val="both"/>
        <w:rPr>
          <w:rFonts w:asciiTheme="majorBidi" w:hAnsiTheme="majorBidi" w:cstheme="majorBidi"/>
          <w:sz w:val="24"/>
          <w:szCs w:val="24"/>
        </w:rPr>
      </w:pPr>
      <w:r>
        <w:rPr>
          <w:rFonts w:asciiTheme="majorBidi" w:hAnsiTheme="majorBidi" w:cstheme="majorBidi"/>
          <w:sz w:val="24"/>
          <w:szCs w:val="24"/>
        </w:rPr>
        <w:t xml:space="preserve">Dua kata yang tergabung dalam kata “Pendidikan Holistik” perlu diurai secara rinci untuk mengetahui makna dan tujuan dari pendidikan itu sendiri menurut para pakar. Selama ini </w:t>
      </w:r>
      <w:r>
        <w:rPr>
          <w:rFonts w:asciiTheme="majorBidi" w:hAnsiTheme="majorBidi" w:cstheme="majorBidi"/>
          <w:sz w:val="24"/>
          <w:szCs w:val="24"/>
        </w:rPr>
        <w:lastRenderedPageBreak/>
        <w:t xml:space="preserve">pendidikan dipahami sebagai upaya sadar untuk mengarahkan </w:t>
      </w:r>
      <w:r w:rsidRPr="00DE788E">
        <w:rPr>
          <w:rFonts w:asciiTheme="majorBidi" w:hAnsiTheme="majorBidi" w:cstheme="majorBidi"/>
          <w:sz w:val="24"/>
          <w:szCs w:val="24"/>
        </w:rPr>
        <w:t>m</w:t>
      </w:r>
      <w:r>
        <w:rPr>
          <w:rFonts w:asciiTheme="majorBidi" w:hAnsiTheme="majorBidi" w:cstheme="majorBidi"/>
          <w:sz w:val="24"/>
          <w:szCs w:val="24"/>
        </w:rPr>
        <w:t xml:space="preserve">anusia dapat memiliki kemampuan, </w:t>
      </w:r>
      <w:r w:rsidRPr="00DE788E">
        <w:rPr>
          <w:rFonts w:asciiTheme="majorBidi" w:hAnsiTheme="majorBidi" w:cstheme="majorBidi"/>
          <w:sz w:val="24"/>
          <w:szCs w:val="24"/>
        </w:rPr>
        <w:t>keterampilan, kebahagiaan, dan derajat yang tinggi. Ki Hajar Dewantara</w:t>
      </w:r>
      <w:r>
        <w:rPr>
          <w:rFonts w:asciiTheme="majorBidi" w:hAnsiTheme="majorBidi" w:cstheme="majorBidi"/>
          <w:sz w:val="24"/>
          <w:szCs w:val="24"/>
        </w:rPr>
        <w:t xml:space="preserve"> sebagaimana yang dikutip oleh Abuddin Nata juga menegaskan</w:t>
      </w:r>
      <w:r w:rsidRPr="00DE788E">
        <w:rPr>
          <w:rFonts w:asciiTheme="majorBidi" w:hAnsiTheme="majorBidi" w:cstheme="majorBidi"/>
          <w:sz w:val="24"/>
          <w:szCs w:val="24"/>
        </w:rPr>
        <w:t xml:space="preserve"> bahwa pendidikan adalah suatu proses yang dilakukan dengan tujuan yang kuat dan dimaksudkan untuk memajukan pengetahuan dan kesejahteraan manusia serta untuk meni</w:t>
      </w:r>
      <w:r>
        <w:rPr>
          <w:rFonts w:asciiTheme="majorBidi" w:hAnsiTheme="majorBidi" w:cstheme="majorBidi"/>
          <w:sz w:val="24"/>
          <w:szCs w:val="24"/>
        </w:rPr>
        <w:t>ngkatkan kehidupan sehari-hari</w:t>
      </w:r>
      <w:r w:rsidRPr="00DE788E">
        <w:rPr>
          <w:rFonts w:asciiTheme="majorBidi" w:hAnsiTheme="majorBidi" w:cstheme="majorBidi"/>
          <w:sz w:val="24"/>
          <w:szCs w:val="24"/>
        </w:rPr>
        <w:t xml:space="preserve"> agar dapat lebih mewujudkan potensi manusia.</w:t>
      </w:r>
      <w:r w:rsidR="00DE168D">
        <w:rPr>
          <w:rStyle w:val="FootnoteReference"/>
          <w:rFonts w:asciiTheme="majorBidi" w:hAnsiTheme="majorBidi" w:cstheme="majorBidi"/>
          <w:sz w:val="24"/>
          <w:szCs w:val="24"/>
        </w:rPr>
        <w:footnoteReference w:id="9"/>
      </w:r>
    </w:p>
    <w:p w:rsidR="00921859" w:rsidRDefault="00921859" w:rsidP="0092185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Ki Hadjar Dewantara juga memberikan penjelasan terkait pendidikan sebagai daya-upaya untuk memajukan bertumbuhnya budi pekerti (kekuatan batin, karakter), pikiran (intelek) dan tubuh anak, dalam rangka kesempurnaan hidup dan keselarasan dengan dunianya.</w:t>
      </w:r>
      <w:r w:rsidR="00796D16">
        <w:rPr>
          <w:rStyle w:val="FootnoteReference"/>
          <w:rFonts w:ascii="Times New Roman" w:eastAsia="Times New Roman" w:hAnsi="Times New Roman" w:cs="Times New Roman"/>
          <w:bCs/>
          <w:sz w:val="24"/>
          <w:szCs w:val="24"/>
        </w:rPr>
        <w:footnoteReference w:id="10"/>
      </w:r>
      <w:r>
        <w:rPr>
          <w:rFonts w:ascii="Times New Roman" w:eastAsia="Times New Roman" w:hAnsi="Times New Roman" w:cs="Times New Roman"/>
          <w:bCs/>
          <w:sz w:val="24"/>
          <w:szCs w:val="24"/>
        </w:rPr>
        <w:t xml:space="preserve"> </w:t>
      </w:r>
      <w:r w:rsidR="001576DC" w:rsidRPr="001576DC">
        <w:rPr>
          <w:rFonts w:ascii="Times New Roman" w:eastAsia="Times New Roman" w:hAnsi="Times New Roman" w:cs="Times New Roman"/>
          <w:bCs/>
          <w:sz w:val="24"/>
          <w:szCs w:val="24"/>
        </w:rPr>
        <w:t>Menurut Undang-Undang Nomor 20 Tahun 2003 Bab I Pasal 1 tentang Sistem Pendidikan Nasional yang dikutip Darmaningtyas, pendidikan dalam konteks Indonesia diartikan sebagai usaha sadar dan terencana untuk mewujudkan lingkungan belajar dan proses pembelajaran agar pesert</w:t>
      </w:r>
      <w:r w:rsidR="00717C28">
        <w:rPr>
          <w:rFonts w:ascii="Times New Roman" w:eastAsia="Times New Roman" w:hAnsi="Times New Roman" w:cs="Times New Roman"/>
          <w:bCs/>
          <w:sz w:val="24"/>
          <w:szCs w:val="24"/>
        </w:rPr>
        <w:t xml:space="preserve">a didik secara aktif berkembang atas potensi dirinya, </w:t>
      </w:r>
      <w:r w:rsidR="001576DC" w:rsidRPr="001576DC">
        <w:rPr>
          <w:rFonts w:ascii="Times New Roman" w:eastAsia="Times New Roman" w:hAnsi="Times New Roman" w:cs="Times New Roman"/>
          <w:bCs/>
          <w:sz w:val="24"/>
          <w:szCs w:val="24"/>
        </w:rPr>
        <w:t>memiliki kekuatan spiritual keagamaan, pengendalian diri, kepribadian, kecerdasan, akhlak mulia, serta keterampilan yang diperlukan dirinya, masyarakat, bangsa, dan negara.</w:t>
      </w:r>
      <w:r w:rsidR="00717C28">
        <w:rPr>
          <w:rStyle w:val="FootnoteReference"/>
          <w:rFonts w:ascii="Times New Roman" w:eastAsia="Times New Roman" w:hAnsi="Times New Roman" w:cs="Times New Roman"/>
          <w:bCs/>
          <w:sz w:val="24"/>
          <w:szCs w:val="24"/>
        </w:rPr>
        <w:footnoteReference w:id="11"/>
      </w:r>
    </w:p>
    <w:p w:rsidR="006E2B49" w:rsidRDefault="006E2B49" w:rsidP="004F014A">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Dalam bahasa Al-Qur’an kata pendidikan disampaikan dengan kata </w:t>
      </w:r>
      <w:r w:rsidRPr="006E2B49">
        <w:rPr>
          <w:rFonts w:ascii="Times New Roman" w:eastAsia="Times New Roman" w:hAnsi="Times New Roman" w:cs="Times New Roman"/>
          <w:bCs/>
          <w:i/>
          <w:iCs/>
          <w:sz w:val="24"/>
          <w:szCs w:val="24"/>
        </w:rPr>
        <w:t>tarbiyyah</w:t>
      </w:r>
      <w:r w:rsidR="004F014A">
        <w:rPr>
          <w:rFonts w:ascii="Times New Roman" w:eastAsia="Times New Roman" w:hAnsi="Times New Roman" w:cs="Times New Roman"/>
          <w:bCs/>
          <w:sz w:val="24"/>
          <w:szCs w:val="24"/>
        </w:rPr>
        <w:t>, yang menurut Al-Asfihani diartikan sebagai proses menumbuhkan sesuatu secara setahap dan dilakukan sesuai pada batas kemampuan. Menurut pengertian di atas, tarbiyah diperuntukkan khusus bagi manusia yang mempunyai potensi rohani, sedangkan pengertian tarbiyah yang dikaitkan dengan alam raya mempunyai arti pemeliharaan dan memenuhi segala yang dibutuhkan serta menjaga sebab-sebab eksistensinya.</w:t>
      </w:r>
      <w:r w:rsidR="00053856">
        <w:rPr>
          <w:rStyle w:val="FootnoteReference"/>
          <w:rFonts w:ascii="Times New Roman" w:eastAsia="Times New Roman" w:hAnsi="Times New Roman" w:cs="Times New Roman"/>
          <w:bCs/>
          <w:sz w:val="24"/>
          <w:szCs w:val="24"/>
        </w:rPr>
        <w:footnoteReference w:id="12"/>
      </w:r>
    </w:p>
    <w:p w:rsidR="00CB5B8C" w:rsidRPr="00CB7E92" w:rsidRDefault="00CB5B8C" w:rsidP="003A2A4F">
      <w:pPr>
        <w:ind w:firstLine="720"/>
        <w:jc w:val="both"/>
        <w:rPr>
          <w:rFonts w:ascii="Times New Roman" w:eastAsia="Times New Roman" w:hAnsi="Times New Roman" w:cs="Times New Roman"/>
          <w:bCs/>
          <w:color w:val="FF0000"/>
          <w:sz w:val="24"/>
          <w:szCs w:val="24"/>
          <w:u w:val="single"/>
        </w:rPr>
      </w:pPr>
      <w:r>
        <w:rPr>
          <w:rFonts w:ascii="Times New Roman" w:eastAsia="Times New Roman" w:hAnsi="Times New Roman" w:cs="Times New Roman"/>
          <w:bCs/>
          <w:sz w:val="24"/>
          <w:szCs w:val="24"/>
        </w:rPr>
        <w:t xml:space="preserve">Pada kesempatan lain juga disampaikan dengan kata </w:t>
      </w:r>
      <w:r>
        <w:rPr>
          <w:rFonts w:ascii="Times New Roman" w:eastAsia="Times New Roman" w:hAnsi="Times New Roman" w:cs="Times New Roman"/>
          <w:bCs/>
          <w:i/>
          <w:iCs/>
          <w:sz w:val="24"/>
          <w:szCs w:val="24"/>
        </w:rPr>
        <w:t xml:space="preserve">ta’lim </w:t>
      </w:r>
      <w:r>
        <w:rPr>
          <w:rFonts w:ascii="Times New Roman" w:eastAsia="Times New Roman" w:hAnsi="Times New Roman" w:cs="Times New Roman"/>
          <w:bCs/>
          <w:sz w:val="24"/>
          <w:szCs w:val="24"/>
        </w:rPr>
        <w:t xml:space="preserve">yang berasal dari kata dasar </w:t>
      </w:r>
      <w:r>
        <w:rPr>
          <w:rFonts w:ascii="Times New Roman" w:eastAsia="Times New Roman" w:hAnsi="Times New Roman" w:cs="Times New Roman"/>
          <w:bCs/>
          <w:i/>
          <w:iCs/>
          <w:sz w:val="24"/>
          <w:szCs w:val="24"/>
        </w:rPr>
        <w:t>“allama”</w:t>
      </w:r>
      <w:r>
        <w:rPr>
          <w:rFonts w:ascii="Times New Roman" w:eastAsia="Times New Roman" w:hAnsi="Times New Roman" w:cs="Times New Roman"/>
          <w:bCs/>
          <w:sz w:val="24"/>
          <w:szCs w:val="24"/>
        </w:rPr>
        <w:t xml:space="preserve"> yang berarti mengajar dan mengetahui. </w:t>
      </w:r>
      <w:r w:rsidR="00B8146D">
        <w:rPr>
          <w:rFonts w:ascii="Times New Roman" w:eastAsia="Times New Roman" w:hAnsi="Times New Roman" w:cs="Times New Roman"/>
          <w:bCs/>
          <w:sz w:val="24"/>
          <w:szCs w:val="24"/>
        </w:rPr>
        <w:t>Menurut para pakar k</w:t>
      </w:r>
      <w:r w:rsidR="00F31C7E">
        <w:rPr>
          <w:rFonts w:ascii="Times New Roman" w:eastAsia="Times New Roman" w:hAnsi="Times New Roman" w:cs="Times New Roman"/>
          <w:bCs/>
          <w:sz w:val="24"/>
          <w:szCs w:val="24"/>
        </w:rPr>
        <w:t xml:space="preserve">ata </w:t>
      </w:r>
      <w:r>
        <w:rPr>
          <w:rFonts w:ascii="Times New Roman" w:eastAsia="Times New Roman" w:hAnsi="Times New Roman" w:cs="Times New Roman"/>
          <w:bCs/>
          <w:i/>
          <w:iCs/>
          <w:sz w:val="24"/>
          <w:szCs w:val="24"/>
        </w:rPr>
        <w:t>ta’lim</w:t>
      </w:r>
      <w:r w:rsidR="00F31C7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lebih mengarah pada aspek kognitif, </w:t>
      </w:r>
      <w:r w:rsidR="00F31C7E">
        <w:rPr>
          <w:rFonts w:ascii="Times New Roman" w:eastAsia="Times New Roman" w:hAnsi="Times New Roman" w:cs="Times New Roman"/>
          <w:bCs/>
          <w:sz w:val="24"/>
          <w:szCs w:val="24"/>
        </w:rPr>
        <w:t xml:space="preserve">dan </w:t>
      </w:r>
      <w:r>
        <w:rPr>
          <w:rFonts w:ascii="Times New Roman" w:eastAsia="Times New Roman" w:hAnsi="Times New Roman" w:cs="Times New Roman"/>
          <w:bCs/>
          <w:sz w:val="24"/>
          <w:szCs w:val="24"/>
        </w:rPr>
        <w:t>mencakup aspek-aspek pengetahuan dan keterampilan yang dibutuhkan seseorang dalam hidupnya serta pedoman perilaku yang baik.</w:t>
      </w:r>
      <w:r w:rsidR="00B8146D">
        <w:rPr>
          <w:rFonts w:ascii="Times New Roman" w:eastAsia="Times New Roman" w:hAnsi="Times New Roman" w:cs="Times New Roman"/>
          <w:bCs/>
          <w:sz w:val="24"/>
          <w:szCs w:val="24"/>
        </w:rPr>
        <w:t xml:space="preserve"> Sedangkan Al-Qur’an memuat kata ini paling tidak sebanyak 42 kali di berbagai ayat. </w:t>
      </w:r>
      <w:r w:rsidR="00DF14F9">
        <w:rPr>
          <w:rFonts w:ascii="Times New Roman" w:eastAsia="Times New Roman" w:hAnsi="Times New Roman" w:cs="Times New Roman"/>
          <w:bCs/>
          <w:sz w:val="24"/>
          <w:szCs w:val="24"/>
        </w:rPr>
        <w:t xml:space="preserve">Selain kata </w:t>
      </w:r>
      <w:r w:rsidR="00DF14F9" w:rsidRPr="00DF14F9">
        <w:rPr>
          <w:rFonts w:ascii="Times New Roman" w:eastAsia="Times New Roman" w:hAnsi="Times New Roman" w:cs="Times New Roman"/>
          <w:bCs/>
          <w:i/>
          <w:iCs/>
          <w:sz w:val="24"/>
          <w:szCs w:val="24"/>
        </w:rPr>
        <w:t>ta’lim</w:t>
      </w:r>
      <w:r w:rsidR="00DF14F9">
        <w:rPr>
          <w:rFonts w:ascii="Times New Roman" w:eastAsia="Times New Roman" w:hAnsi="Times New Roman" w:cs="Times New Roman"/>
          <w:bCs/>
          <w:sz w:val="24"/>
          <w:szCs w:val="24"/>
        </w:rPr>
        <w:t xml:space="preserve"> juga disampaikan </w:t>
      </w:r>
      <w:r w:rsidR="00DF14F9" w:rsidRPr="003A2A4F">
        <w:rPr>
          <w:rFonts w:ascii="Times New Roman" w:eastAsia="Times New Roman" w:hAnsi="Times New Roman" w:cs="Times New Roman"/>
          <w:bCs/>
          <w:sz w:val="24"/>
          <w:szCs w:val="24"/>
        </w:rPr>
        <w:t>dengan kata tadr</w:t>
      </w:r>
      <w:r w:rsidR="003A2A4F" w:rsidRPr="003A2A4F">
        <w:rPr>
          <w:rFonts w:ascii="Times New Roman" w:eastAsia="Times New Roman" w:hAnsi="Times New Roman" w:cs="Times New Roman"/>
          <w:bCs/>
          <w:sz w:val="24"/>
          <w:szCs w:val="24"/>
        </w:rPr>
        <w:t>is yang artinya adalah membekas. Dengan alasan</w:t>
      </w:r>
      <w:r w:rsidR="00DF14F9" w:rsidRPr="003A2A4F">
        <w:rPr>
          <w:rFonts w:ascii="Times New Roman" w:eastAsia="Times New Roman" w:hAnsi="Times New Roman" w:cs="Times New Roman"/>
          <w:bCs/>
          <w:sz w:val="24"/>
          <w:szCs w:val="24"/>
        </w:rPr>
        <w:t xml:space="preserve"> pelajaran yang dijelaskan sepenuhnya mampu meninggalkan yang sebelumnya dan menjaga sisa sehingga membutuhkan usaha yang signifikan.</w:t>
      </w:r>
      <w:r w:rsidR="00AB2870" w:rsidRPr="003A2A4F">
        <w:rPr>
          <w:rStyle w:val="FootnoteReference"/>
          <w:rFonts w:ascii="Times New Roman" w:eastAsia="Times New Roman" w:hAnsi="Times New Roman" w:cs="Times New Roman"/>
          <w:bCs/>
          <w:sz w:val="24"/>
          <w:szCs w:val="24"/>
        </w:rPr>
        <w:footnoteReference w:id="13"/>
      </w:r>
      <w:r w:rsidR="008534AB" w:rsidRPr="003A2A4F">
        <w:rPr>
          <w:rFonts w:ascii="Times New Roman" w:eastAsia="Times New Roman" w:hAnsi="Times New Roman" w:cs="Times New Roman"/>
          <w:bCs/>
          <w:sz w:val="24"/>
          <w:szCs w:val="24"/>
        </w:rPr>
        <w:t xml:space="preserve"> </w:t>
      </w:r>
      <w:r w:rsidR="00CB7E92" w:rsidRPr="003A2A4F">
        <w:rPr>
          <w:rFonts w:ascii="Times New Roman" w:eastAsia="Times New Roman" w:hAnsi="Times New Roman" w:cs="Times New Roman"/>
          <w:bCs/>
          <w:sz w:val="24"/>
          <w:szCs w:val="24"/>
        </w:rPr>
        <w:t xml:space="preserve"> </w:t>
      </w:r>
    </w:p>
    <w:p w:rsidR="00F8281D" w:rsidRDefault="00F25A67" w:rsidP="00CB7E92">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Tiga kata di atas menjadi kata kunci ke</w:t>
      </w:r>
      <w:r w:rsidR="00CB7E92">
        <w:rPr>
          <w:rFonts w:ascii="Times New Roman" w:eastAsia="Times New Roman" w:hAnsi="Times New Roman" w:cs="Times New Roman"/>
          <w:bCs/>
          <w:sz w:val="24"/>
          <w:szCs w:val="24"/>
        </w:rPr>
        <w:t>tika mencari ayat-ayat Al-Qur’an</w:t>
      </w:r>
      <w:r>
        <w:rPr>
          <w:rFonts w:ascii="Times New Roman" w:eastAsia="Times New Roman" w:hAnsi="Times New Roman" w:cs="Times New Roman"/>
          <w:bCs/>
          <w:sz w:val="24"/>
          <w:szCs w:val="24"/>
        </w:rPr>
        <w:t xml:space="preserve"> yang berbicara tentang pendidikan, meskipun dalam konteks metode yang bisa digunakan dalam pro</w:t>
      </w:r>
      <w:r w:rsidR="0044125F">
        <w:rPr>
          <w:rFonts w:ascii="Times New Roman" w:eastAsia="Times New Roman" w:hAnsi="Times New Roman" w:cs="Times New Roman"/>
          <w:bCs/>
          <w:sz w:val="24"/>
          <w:szCs w:val="24"/>
        </w:rPr>
        <w:t>ses pendidikan terdapat</w:t>
      </w:r>
      <w:r>
        <w:rPr>
          <w:rFonts w:ascii="Times New Roman" w:eastAsia="Times New Roman" w:hAnsi="Times New Roman" w:cs="Times New Roman"/>
          <w:bCs/>
          <w:sz w:val="24"/>
          <w:szCs w:val="24"/>
        </w:rPr>
        <w:t xml:space="preserve"> kata</w:t>
      </w:r>
      <w:r w:rsidR="0044125F">
        <w:rPr>
          <w:rFonts w:ascii="Times New Roman" w:eastAsia="Times New Roman" w:hAnsi="Times New Roman" w:cs="Times New Roman"/>
          <w:bCs/>
          <w:sz w:val="24"/>
          <w:szCs w:val="24"/>
        </w:rPr>
        <w:t xml:space="preserve"> kunci</w:t>
      </w:r>
      <w:r>
        <w:rPr>
          <w:rFonts w:ascii="Times New Roman" w:eastAsia="Times New Roman" w:hAnsi="Times New Roman" w:cs="Times New Roman"/>
          <w:bCs/>
          <w:sz w:val="24"/>
          <w:szCs w:val="24"/>
        </w:rPr>
        <w:t xml:space="preserve"> lain. </w:t>
      </w:r>
      <w:r w:rsidR="00772D62">
        <w:rPr>
          <w:rFonts w:ascii="Times New Roman" w:eastAsia="Times New Roman" w:hAnsi="Times New Roman" w:cs="Times New Roman"/>
          <w:bCs/>
          <w:sz w:val="24"/>
          <w:szCs w:val="24"/>
        </w:rPr>
        <w:t xml:space="preserve">Seperti </w:t>
      </w:r>
      <w:r w:rsidR="00772D62" w:rsidRPr="00772D62">
        <w:rPr>
          <w:rFonts w:ascii="Times New Roman" w:eastAsia="Times New Roman" w:hAnsi="Times New Roman" w:cs="Times New Roman"/>
          <w:bCs/>
          <w:i/>
          <w:iCs/>
          <w:sz w:val="24"/>
          <w:szCs w:val="24"/>
        </w:rPr>
        <w:t>tazkiyah, tafaqquh, tadabbur, ta’aqqul, tafakkur, tazkirah</w:t>
      </w:r>
      <w:r w:rsidR="00772D62">
        <w:rPr>
          <w:rFonts w:ascii="Times New Roman" w:eastAsia="Times New Roman" w:hAnsi="Times New Roman" w:cs="Times New Roman"/>
          <w:bCs/>
          <w:sz w:val="24"/>
          <w:szCs w:val="24"/>
        </w:rPr>
        <w:t xml:space="preserve">, dan </w:t>
      </w:r>
      <w:r w:rsidR="00772D62" w:rsidRPr="00772D62">
        <w:rPr>
          <w:rFonts w:ascii="Times New Roman" w:eastAsia="Times New Roman" w:hAnsi="Times New Roman" w:cs="Times New Roman"/>
          <w:bCs/>
          <w:i/>
          <w:iCs/>
          <w:sz w:val="24"/>
          <w:szCs w:val="24"/>
        </w:rPr>
        <w:t>mauidlah</w:t>
      </w:r>
      <w:r w:rsidR="00772D62">
        <w:rPr>
          <w:rFonts w:ascii="Times New Roman" w:eastAsia="Times New Roman" w:hAnsi="Times New Roman" w:cs="Times New Roman"/>
          <w:bCs/>
          <w:sz w:val="24"/>
          <w:szCs w:val="24"/>
        </w:rPr>
        <w:t>.</w:t>
      </w:r>
      <w:r w:rsidR="0044125F">
        <w:rPr>
          <w:rFonts w:ascii="Times New Roman" w:eastAsia="Times New Roman" w:hAnsi="Times New Roman" w:cs="Times New Roman"/>
          <w:bCs/>
          <w:sz w:val="24"/>
          <w:szCs w:val="24"/>
        </w:rPr>
        <w:t xml:space="preserve"> Dengan melibatkan beberapa metode tersebut paling tidak tujuan dari pendidikan yang disampaikan oleh Al-Qur’an adalah sebagai bekal untuk mengabdi (beribadah kepada Allah), sebagaimana disampaikan dalam surah al-Zariyat 56. </w:t>
      </w:r>
      <w:r w:rsidR="00F8281D">
        <w:rPr>
          <w:rFonts w:ascii="Times New Roman" w:eastAsia="Times New Roman" w:hAnsi="Times New Roman" w:cs="Times New Roman"/>
          <w:bCs/>
          <w:sz w:val="24"/>
          <w:szCs w:val="24"/>
        </w:rPr>
        <w:t xml:space="preserve">Agar bisa menjadi bekal </w:t>
      </w:r>
      <w:r w:rsidR="00F8281D">
        <w:rPr>
          <w:rFonts w:ascii="Times New Roman" w:eastAsia="Times New Roman" w:hAnsi="Times New Roman" w:cs="Times New Roman"/>
          <w:bCs/>
          <w:sz w:val="24"/>
          <w:szCs w:val="24"/>
        </w:rPr>
        <w:lastRenderedPageBreak/>
        <w:t xml:space="preserve">manusia sebagai khalifah (al-Baqarah 30), dan memberikan kebaikan di dunia maupun di akhirat (al-Baqarah 201). </w:t>
      </w:r>
    </w:p>
    <w:p w:rsidR="00F25A67" w:rsidRDefault="00CD10E0" w:rsidP="0044125F">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Berikutnya kata holistik sendiri dalam makna pendidikan holistik diartikan sebagai </w:t>
      </w:r>
      <w:r w:rsidR="00871D9F">
        <w:rPr>
          <w:rFonts w:ascii="Times New Roman" w:eastAsia="Times New Roman" w:hAnsi="Times New Roman" w:cs="Times New Roman"/>
          <w:bCs/>
          <w:sz w:val="24"/>
          <w:szCs w:val="24"/>
        </w:rPr>
        <w:t xml:space="preserve">pemeliharaan terhadap hal yang menyeluruh dan mendasar. Rudge dalam disertasinya setelah mengurai teoritis, filosofis dan </w:t>
      </w:r>
      <w:r w:rsidR="00871D9F" w:rsidRPr="00871D9F">
        <w:rPr>
          <w:rFonts w:ascii="Times New Roman" w:eastAsia="Times New Roman" w:hAnsi="Times New Roman" w:cs="Times New Roman"/>
          <w:bCs/>
          <w:i/>
          <w:iCs/>
          <w:sz w:val="24"/>
          <w:szCs w:val="24"/>
        </w:rPr>
        <w:t>wordview</w:t>
      </w:r>
      <w:r w:rsidR="00871D9F">
        <w:rPr>
          <w:rFonts w:ascii="Times New Roman" w:eastAsia="Times New Roman" w:hAnsi="Times New Roman" w:cs="Times New Roman"/>
          <w:bCs/>
          <w:sz w:val="24"/>
          <w:szCs w:val="24"/>
        </w:rPr>
        <w:t xml:space="preserve">, kemudian ia menarik kesimpulan bahwa para pakar sepakat tentang pendidikan holistik memiliki prinsip menjaga potensi yang langsung berkaitan dengan manusia melalui pengembangan </w:t>
      </w:r>
      <w:r w:rsidR="008B2D2D">
        <w:rPr>
          <w:rFonts w:ascii="Times New Roman" w:eastAsia="Times New Roman" w:hAnsi="Times New Roman" w:cs="Times New Roman"/>
          <w:bCs/>
          <w:sz w:val="24"/>
          <w:szCs w:val="24"/>
        </w:rPr>
        <w:t>d</w:t>
      </w:r>
      <w:r w:rsidR="00871D9F">
        <w:rPr>
          <w:rFonts w:ascii="Times New Roman" w:eastAsia="Times New Roman" w:hAnsi="Times New Roman" w:cs="Times New Roman"/>
          <w:bCs/>
          <w:sz w:val="24"/>
          <w:szCs w:val="24"/>
        </w:rPr>
        <w:t xml:space="preserve">asar yang melibatkan unsur </w:t>
      </w:r>
      <w:r w:rsidR="00294933">
        <w:rPr>
          <w:rFonts w:ascii="Times New Roman" w:eastAsia="Times New Roman" w:hAnsi="Times New Roman" w:cs="Times New Roman"/>
          <w:bCs/>
          <w:sz w:val="24"/>
          <w:szCs w:val="24"/>
        </w:rPr>
        <w:t>pengetahuan dan keterampilan. Pendidikan holistik melibatkan potensi spiritual, fisik, intelektual, emosional, dll sebagai upaya transformasi diri sendiri.</w:t>
      </w:r>
      <w:r w:rsidR="00D43678">
        <w:rPr>
          <w:rStyle w:val="FootnoteReference"/>
          <w:rFonts w:ascii="Times New Roman" w:eastAsia="Times New Roman" w:hAnsi="Times New Roman" w:cs="Times New Roman"/>
          <w:bCs/>
          <w:sz w:val="24"/>
          <w:szCs w:val="24"/>
        </w:rPr>
        <w:footnoteReference w:id="14"/>
      </w:r>
    </w:p>
    <w:p w:rsidR="009B3503" w:rsidRDefault="00A65623" w:rsidP="007259C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Rudge juga menyebutkan </w:t>
      </w:r>
      <w:r w:rsidR="007259C9">
        <w:rPr>
          <w:rFonts w:ascii="Times New Roman" w:eastAsia="Times New Roman" w:hAnsi="Times New Roman" w:cs="Times New Roman"/>
          <w:bCs/>
          <w:sz w:val="24"/>
          <w:szCs w:val="24"/>
        </w:rPr>
        <w:t xml:space="preserve">adanya praktik </w:t>
      </w:r>
      <w:r>
        <w:rPr>
          <w:rFonts w:ascii="Times New Roman" w:eastAsia="Times New Roman" w:hAnsi="Times New Roman" w:cs="Times New Roman"/>
          <w:bCs/>
          <w:sz w:val="24"/>
          <w:szCs w:val="24"/>
        </w:rPr>
        <w:t xml:space="preserve">pendidikan holistik di Barat </w:t>
      </w:r>
      <w:r w:rsidR="00FF7234">
        <w:rPr>
          <w:rFonts w:ascii="Times New Roman" w:eastAsia="Times New Roman" w:hAnsi="Times New Roman" w:cs="Times New Roman"/>
          <w:bCs/>
          <w:sz w:val="24"/>
          <w:szCs w:val="24"/>
        </w:rPr>
        <w:t>dan di Timur, j</w:t>
      </w:r>
      <w:r w:rsidR="007259C9">
        <w:rPr>
          <w:rFonts w:ascii="Times New Roman" w:eastAsia="Times New Roman" w:hAnsi="Times New Roman" w:cs="Times New Roman"/>
          <w:bCs/>
          <w:sz w:val="24"/>
          <w:szCs w:val="24"/>
        </w:rPr>
        <w:t xml:space="preserve">ika di Barat diimplementasikan dengan melibatkan potensi dasar peserta didik </w:t>
      </w:r>
      <w:r w:rsidR="006321B9">
        <w:rPr>
          <w:rFonts w:ascii="Times New Roman" w:eastAsia="Times New Roman" w:hAnsi="Times New Roman" w:cs="Times New Roman"/>
          <w:bCs/>
          <w:sz w:val="24"/>
          <w:szCs w:val="24"/>
        </w:rPr>
        <w:t xml:space="preserve">untuk mengaktualisasikan potensi dirinya sendiri melalui pengalaman hidup. Sedangkan di Timur pada praktiknya </w:t>
      </w:r>
      <w:r>
        <w:rPr>
          <w:rFonts w:ascii="Times New Roman" w:eastAsia="Times New Roman" w:hAnsi="Times New Roman" w:cs="Times New Roman"/>
          <w:bCs/>
          <w:sz w:val="24"/>
          <w:szCs w:val="24"/>
        </w:rPr>
        <w:t>melibatkan kegiatan meditasi untuk mengasah kemampuan spiritual</w:t>
      </w:r>
      <w:r w:rsidR="006321B9">
        <w:rPr>
          <w:rFonts w:ascii="Times New Roman" w:eastAsia="Times New Roman" w:hAnsi="Times New Roman" w:cs="Times New Roman"/>
          <w:bCs/>
          <w:sz w:val="24"/>
          <w:szCs w:val="24"/>
        </w:rPr>
        <w:t xml:space="preserve"> untuk membawa pada transformasi yang nyata.</w:t>
      </w:r>
      <w:r w:rsidR="00FF7234">
        <w:rPr>
          <w:rFonts w:ascii="Times New Roman" w:eastAsia="Times New Roman" w:hAnsi="Times New Roman" w:cs="Times New Roman"/>
          <w:bCs/>
          <w:sz w:val="24"/>
          <w:szCs w:val="24"/>
        </w:rPr>
        <w:t xml:space="preserve"> Konsep ini yang juga disampaikan oleh al-Abrasy terkait tujuan pendidikan dalam Islam adalah terbentuknya moralitas yang baik.</w:t>
      </w:r>
      <w:r w:rsidR="00FF7234">
        <w:rPr>
          <w:rStyle w:val="FootnoteReference"/>
          <w:rFonts w:ascii="Times New Roman" w:eastAsia="Times New Roman" w:hAnsi="Times New Roman" w:cs="Times New Roman"/>
          <w:bCs/>
          <w:sz w:val="24"/>
          <w:szCs w:val="24"/>
        </w:rPr>
        <w:footnoteReference w:id="15"/>
      </w:r>
      <w:r w:rsidR="003A1927">
        <w:rPr>
          <w:rFonts w:ascii="Times New Roman" w:eastAsia="Times New Roman" w:hAnsi="Times New Roman" w:cs="Times New Roman"/>
          <w:bCs/>
          <w:sz w:val="24"/>
          <w:szCs w:val="24"/>
        </w:rPr>
        <w:t xml:space="preserve"> Meskipun demikian pada konteks pendidikan holistik ini tidak hanya akhlak atau moral yang menjadi target pengembangan, melainkan juga pada ranah afektif, kognitif, mental, dan lainnya.</w:t>
      </w:r>
    </w:p>
    <w:p w:rsidR="003A1927" w:rsidRDefault="003A1927" w:rsidP="003A1927">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Unsur-unsur di atas penting menjadi pertimbangan pada target pendidikan sebab posisinya sangat penting untuk mengantarkan manusia menjadi lebih baik. Oleh sebab itu suatu hal yang menarik di sisi lain Al-Abrasy juga mengutip pendapat Ibnu Khaldun yang menegaskan bahwa tujuan pendidikan Islam paling tidak memuat dua tujuan penting, di antaranya: tujuan yang berorientasi hari akhir (masa depan)</w:t>
      </w:r>
      <w:r w:rsidRPr="003A1927">
        <w:rPr>
          <w:rFonts w:ascii="Times New Roman" w:eastAsia="Times New Roman" w:hAnsi="Times New Roman" w:cs="Times New Roman"/>
          <w:bCs/>
          <w:sz w:val="24"/>
          <w:szCs w:val="24"/>
        </w:rPr>
        <w:t>, yaitu membentuk hamba untuk menun</w:t>
      </w:r>
      <w:r>
        <w:rPr>
          <w:rFonts w:ascii="Times New Roman" w:eastAsia="Times New Roman" w:hAnsi="Times New Roman" w:cs="Times New Roman"/>
          <w:bCs/>
          <w:sz w:val="24"/>
          <w:szCs w:val="24"/>
        </w:rPr>
        <w:t>aikan kewajiban kepada Allah,</w:t>
      </w:r>
      <w:r w:rsidRPr="003A1927">
        <w:rPr>
          <w:rFonts w:ascii="Times New Roman" w:eastAsia="Times New Roman" w:hAnsi="Times New Roman" w:cs="Times New Roman"/>
          <w:bCs/>
          <w:sz w:val="24"/>
          <w:szCs w:val="24"/>
        </w:rPr>
        <w:t xml:space="preserve"> tujua</w:t>
      </w:r>
      <w:r>
        <w:rPr>
          <w:rFonts w:ascii="Times New Roman" w:eastAsia="Times New Roman" w:hAnsi="Times New Roman" w:cs="Times New Roman"/>
          <w:bCs/>
          <w:sz w:val="24"/>
          <w:szCs w:val="24"/>
        </w:rPr>
        <w:t xml:space="preserve">n yang berorientasi pada tujuan </w:t>
      </w:r>
      <w:r w:rsidRPr="003A1927">
        <w:rPr>
          <w:rFonts w:ascii="Times New Roman" w:eastAsia="Times New Roman" w:hAnsi="Times New Roman" w:cs="Times New Roman"/>
          <w:bCs/>
          <w:sz w:val="24"/>
          <w:szCs w:val="24"/>
        </w:rPr>
        <w:t xml:space="preserve">keduniawian, yaitu menciptakan manusia tangguh yang mampu mengatasi segala macam tuntutan dan kesulitan hidup sehingga hidup lebih bernilai dan bermanfaat bagi </w:t>
      </w:r>
      <w:r w:rsidR="003A0128">
        <w:rPr>
          <w:rFonts w:ascii="Times New Roman" w:eastAsia="Times New Roman" w:hAnsi="Times New Roman" w:cs="Times New Roman"/>
          <w:bCs/>
          <w:sz w:val="24"/>
          <w:szCs w:val="24"/>
        </w:rPr>
        <w:t>sesama</w:t>
      </w:r>
      <w:r>
        <w:rPr>
          <w:rFonts w:ascii="Times New Roman" w:eastAsia="Times New Roman" w:hAnsi="Times New Roman" w:cs="Times New Roman"/>
          <w:bCs/>
          <w:sz w:val="24"/>
          <w:szCs w:val="24"/>
        </w:rPr>
        <w:t>.</w:t>
      </w:r>
      <w:r w:rsidR="0040521C">
        <w:rPr>
          <w:rStyle w:val="FootnoteReference"/>
          <w:rFonts w:ascii="Times New Roman" w:eastAsia="Times New Roman" w:hAnsi="Times New Roman" w:cs="Times New Roman"/>
          <w:bCs/>
          <w:sz w:val="24"/>
          <w:szCs w:val="24"/>
        </w:rPr>
        <w:footnoteReference w:id="16"/>
      </w:r>
    </w:p>
    <w:p w:rsidR="00674CAA" w:rsidRDefault="0049140F" w:rsidP="00E32948">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Widyastono dalam tulisannya mengurai asal muasal tujuan pendidikan holistik yang sebenarnya pernah mengalami pasang surut sangat lama sekali, sampai pada tahun 1979 p</w:t>
      </w:r>
      <w:r w:rsidRPr="0049140F">
        <w:rPr>
          <w:rFonts w:ascii="Times New Roman" w:eastAsia="Times New Roman" w:hAnsi="Times New Roman" w:cs="Times New Roman"/>
          <w:bCs/>
          <w:sz w:val="24"/>
          <w:szCs w:val="24"/>
        </w:rPr>
        <w:t xml:space="preserve">ara penganut pendidikan holistik mulai mengenalkan dasar-dasar pendidikan </w:t>
      </w:r>
      <w:r w:rsidR="00E32948">
        <w:rPr>
          <w:rFonts w:ascii="Times New Roman" w:eastAsia="Times New Roman" w:hAnsi="Times New Roman" w:cs="Times New Roman"/>
          <w:bCs/>
          <w:sz w:val="24"/>
          <w:szCs w:val="24"/>
        </w:rPr>
        <w:t>holistik yang populer disebut dengan 3 R.</w:t>
      </w:r>
      <w:r w:rsidRPr="0049140F">
        <w:rPr>
          <w:rFonts w:ascii="Times New Roman" w:eastAsia="Times New Roman" w:hAnsi="Times New Roman" w:cs="Times New Roman"/>
          <w:bCs/>
          <w:sz w:val="24"/>
          <w:szCs w:val="24"/>
        </w:rPr>
        <w:t xml:space="preserve"> </w:t>
      </w:r>
      <w:r w:rsidR="00E32948">
        <w:rPr>
          <w:rFonts w:ascii="Times New Roman" w:eastAsia="Times New Roman" w:hAnsi="Times New Roman" w:cs="Times New Roman"/>
          <w:bCs/>
          <w:sz w:val="24"/>
          <w:szCs w:val="24"/>
        </w:rPr>
        <w:t>Y</w:t>
      </w:r>
      <w:r w:rsidRPr="0049140F">
        <w:rPr>
          <w:rFonts w:ascii="Times New Roman" w:eastAsia="Times New Roman" w:hAnsi="Times New Roman" w:cs="Times New Roman"/>
          <w:bCs/>
          <w:sz w:val="24"/>
          <w:szCs w:val="24"/>
        </w:rPr>
        <w:t>aitu interaksi atau hubungan antara individu dengan lingkungannya (</w:t>
      </w:r>
      <w:r w:rsidRPr="0049140F">
        <w:rPr>
          <w:rFonts w:ascii="Times New Roman" w:eastAsia="Times New Roman" w:hAnsi="Times New Roman" w:cs="Times New Roman"/>
          <w:bCs/>
          <w:i/>
          <w:iCs/>
          <w:sz w:val="24"/>
          <w:szCs w:val="24"/>
        </w:rPr>
        <w:t>relationships</w:t>
      </w:r>
      <w:r w:rsidRPr="0049140F">
        <w:rPr>
          <w:rFonts w:ascii="Times New Roman" w:eastAsia="Times New Roman" w:hAnsi="Times New Roman" w:cs="Times New Roman"/>
          <w:bCs/>
          <w:sz w:val="24"/>
          <w:szCs w:val="24"/>
        </w:rPr>
        <w:t>), tanggung jawab untuk menciptakan dan memelihara hubungan yang harmonis dan sinergis dengan alam semesta (</w:t>
      </w:r>
      <w:r w:rsidRPr="0049140F">
        <w:rPr>
          <w:rFonts w:ascii="Times New Roman" w:eastAsia="Times New Roman" w:hAnsi="Times New Roman" w:cs="Times New Roman"/>
          <w:bCs/>
          <w:i/>
          <w:iCs/>
          <w:sz w:val="24"/>
          <w:szCs w:val="24"/>
        </w:rPr>
        <w:t>responsibility</w:t>
      </w:r>
      <w:r w:rsidRPr="0049140F">
        <w:rPr>
          <w:rFonts w:ascii="Times New Roman" w:eastAsia="Times New Roman" w:hAnsi="Times New Roman" w:cs="Times New Roman"/>
          <w:bCs/>
          <w:sz w:val="24"/>
          <w:szCs w:val="24"/>
        </w:rPr>
        <w:t>), upaya menjaga keseimbangan dengan tetap me</w:t>
      </w:r>
      <w:r>
        <w:rPr>
          <w:rFonts w:ascii="Times New Roman" w:eastAsia="Times New Roman" w:hAnsi="Times New Roman" w:cs="Times New Roman"/>
          <w:bCs/>
          <w:sz w:val="24"/>
          <w:szCs w:val="24"/>
        </w:rPr>
        <w:t>ngutamakan normatif</w:t>
      </w:r>
      <w:r w:rsidRPr="0049140F">
        <w:rPr>
          <w:rFonts w:ascii="Times New Roman" w:eastAsia="Times New Roman" w:hAnsi="Times New Roman" w:cs="Times New Roman"/>
          <w:bCs/>
          <w:sz w:val="24"/>
          <w:szCs w:val="24"/>
        </w:rPr>
        <w:t xml:space="preserve"> dan aspek sarat nilai yang merupakan kehormatan bagi kemanusiaan</w:t>
      </w:r>
      <w:r>
        <w:rPr>
          <w:rFonts w:ascii="Times New Roman" w:eastAsia="Times New Roman" w:hAnsi="Times New Roman" w:cs="Times New Roman"/>
          <w:bCs/>
          <w:sz w:val="24"/>
          <w:szCs w:val="24"/>
        </w:rPr>
        <w:t xml:space="preserve"> (</w:t>
      </w:r>
      <w:r w:rsidRPr="0049140F">
        <w:rPr>
          <w:rFonts w:ascii="Times New Roman" w:eastAsia="Times New Roman" w:hAnsi="Times New Roman" w:cs="Times New Roman"/>
          <w:bCs/>
          <w:i/>
          <w:iCs/>
          <w:sz w:val="24"/>
          <w:szCs w:val="24"/>
        </w:rPr>
        <w:t>reverence</w:t>
      </w:r>
      <w:r>
        <w:rPr>
          <w:rFonts w:ascii="Times New Roman" w:eastAsia="Times New Roman" w:hAnsi="Times New Roman" w:cs="Times New Roman"/>
          <w:bCs/>
          <w:sz w:val="24"/>
          <w:szCs w:val="24"/>
        </w:rPr>
        <w:t>).</w:t>
      </w:r>
      <w:r w:rsidR="00673B05">
        <w:rPr>
          <w:rStyle w:val="FootnoteReference"/>
          <w:rFonts w:ascii="Times New Roman" w:eastAsia="Times New Roman" w:hAnsi="Times New Roman" w:cs="Times New Roman"/>
          <w:bCs/>
          <w:sz w:val="24"/>
          <w:szCs w:val="24"/>
        </w:rPr>
        <w:footnoteReference w:id="17"/>
      </w:r>
    </w:p>
    <w:p w:rsidR="00793FE0" w:rsidRDefault="00793FE0" w:rsidP="00601924">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00601924">
        <w:rPr>
          <w:rFonts w:ascii="Times New Roman" w:eastAsia="Times New Roman" w:hAnsi="Times New Roman" w:cs="Times New Roman"/>
          <w:bCs/>
          <w:sz w:val="24"/>
          <w:szCs w:val="24"/>
        </w:rPr>
        <w:t>etelah</w:t>
      </w:r>
      <w:r>
        <w:rPr>
          <w:rFonts w:ascii="Times New Roman" w:eastAsia="Times New Roman" w:hAnsi="Times New Roman" w:cs="Times New Roman"/>
          <w:bCs/>
          <w:sz w:val="24"/>
          <w:szCs w:val="24"/>
        </w:rPr>
        <w:t xml:space="preserve"> memaparkan pada aspek sejarah peletakan dasar pendidikan holistik</w:t>
      </w:r>
      <w:r w:rsidR="00601924">
        <w:rPr>
          <w:rFonts w:ascii="Times New Roman" w:eastAsia="Times New Roman" w:hAnsi="Times New Roman" w:cs="Times New Roman"/>
          <w:bCs/>
          <w:sz w:val="24"/>
          <w:szCs w:val="24"/>
        </w:rPr>
        <w:t>, Widyastono</w:t>
      </w:r>
      <w:r>
        <w:rPr>
          <w:rFonts w:ascii="Times New Roman" w:eastAsia="Times New Roman" w:hAnsi="Times New Roman" w:cs="Times New Roman"/>
          <w:bCs/>
          <w:sz w:val="24"/>
          <w:szCs w:val="24"/>
        </w:rPr>
        <w:t xml:space="preserve"> menjelaskan terkait dengan tujuan yang hendak dicapai dalam pendidikan holistik. Menurutnya p</w:t>
      </w:r>
      <w:r w:rsidRPr="00793FE0">
        <w:rPr>
          <w:rFonts w:ascii="Times New Roman" w:eastAsia="Times New Roman" w:hAnsi="Times New Roman" w:cs="Times New Roman"/>
          <w:bCs/>
          <w:sz w:val="24"/>
          <w:szCs w:val="24"/>
        </w:rPr>
        <w:t xml:space="preserve">endidikan holistik berupaya membantu siswa mencapai potensi penuh mereka dengan memberi </w:t>
      </w:r>
      <w:r w:rsidRPr="00793FE0">
        <w:rPr>
          <w:rFonts w:ascii="Times New Roman" w:eastAsia="Times New Roman" w:hAnsi="Times New Roman" w:cs="Times New Roman"/>
          <w:bCs/>
          <w:sz w:val="24"/>
          <w:szCs w:val="24"/>
        </w:rPr>
        <w:lastRenderedPageBreak/>
        <w:t xml:space="preserve">mereka kesempatan untuk terlibat dengan lingkungannya dengan cara yang demokratis, menyenangkan, dan manusiawi. Siswa diharapkan menjadi dirinya sendiri </w:t>
      </w:r>
      <w:r>
        <w:rPr>
          <w:rFonts w:ascii="Times New Roman" w:eastAsia="Times New Roman" w:hAnsi="Times New Roman" w:cs="Times New Roman"/>
          <w:bCs/>
          <w:sz w:val="24"/>
          <w:szCs w:val="24"/>
        </w:rPr>
        <w:t>untuk</w:t>
      </w:r>
      <w:r w:rsidRPr="00793FE0">
        <w:rPr>
          <w:rFonts w:ascii="Times New Roman" w:eastAsia="Times New Roman" w:hAnsi="Times New Roman" w:cs="Times New Roman"/>
          <w:bCs/>
          <w:sz w:val="24"/>
          <w:szCs w:val="24"/>
        </w:rPr>
        <w:t xml:space="preserve"> mampu mengembangkan kebebasan psikologis, membuat keputusan yang bijak, dan belajar dengan cara yang sesuai untuk mereka.</w:t>
      </w:r>
    </w:p>
    <w:p w:rsidR="00AC474A" w:rsidRDefault="00601924" w:rsidP="00AC474A">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Penjelasan tersebut memang sepenuhnya menunjukkan aspek penting yang hendak dicapai pendidikan holistik, sehingga relevan terhadap pesan-pesan Al-Qur’</w:t>
      </w:r>
      <w:r w:rsidR="005B031E">
        <w:rPr>
          <w:rFonts w:ascii="Times New Roman" w:eastAsia="Times New Roman" w:hAnsi="Times New Roman" w:cs="Times New Roman"/>
          <w:bCs/>
          <w:sz w:val="24"/>
          <w:szCs w:val="24"/>
        </w:rPr>
        <w:t xml:space="preserve">an terkait pendidikan baik secara fungsi, metodologis, dan tujuan yang ingin dicapai. </w:t>
      </w:r>
      <w:r w:rsidR="00AC194F">
        <w:rPr>
          <w:rFonts w:ascii="Times New Roman" w:eastAsia="Times New Roman" w:hAnsi="Times New Roman" w:cs="Times New Roman"/>
          <w:bCs/>
          <w:sz w:val="24"/>
          <w:szCs w:val="24"/>
        </w:rPr>
        <w:t xml:space="preserve">Meskipun Rudge secara panjang lebar berhasil mengurai perbedaan kultur dan aplikasi pendidikan holistik antara di lingkungan budaya Barat dan Timur. </w:t>
      </w:r>
      <w:r w:rsidR="00AC474A">
        <w:rPr>
          <w:rFonts w:ascii="Times New Roman" w:eastAsia="Times New Roman" w:hAnsi="Times New Roman" w:cs="Times New Roman"/>
          <w:bCs/>
          <w:sz w:val="24"/>
          <w:szCs w:val="24"/>
        </w:rPr>
        <w:t>Suatu hal yang menarik ada di dalam kedua tulisan mereka itu adalah penekanan bahwa pada pendidikan holistik memperhatikan adanya pendidikan yang memperhatikan keterhubungan (</w:t>
      </w:r>
      <w:r w:rsidR="00AC474A" w:rsidRPr="00AC474A">
        <w:rPr>
          <w:rFonts w:ascii="Times New Roman" w:eastAsia="Times New Roman" w:hAnsi="Times New Roman" w:cs="Times New Roman"/>
          <w:bCs/>
          <w:i/>
          <w:iCs/>
          <w:sz w:val="24"/>
          <w:szCs w:val="24"/>
        </w:rPr>
        <w:t>connectedness</w:t>
      </w:r>
      <w:r w:rsidR="00AC474A">
        <w:rPr>
          <w:rFonts w:ascii="Times New Roman" w:eastAsia="Times New Roman" w:hAnsi="Times New Roman" w:cs="Times New Roman"/>
          <w:bCs/>
          <w:sz w:val="24"/>
          <w:szCs w:val="24"/>
        </w:rPr>
        <w:t>),</w:t>
      </w:r>
      <w:r w:rsidR="00AC474A" w:rsidRPr="00AC474A">
        <w:rPr>
          <w:rFonts w:ascii="Times New Roman" w:eastAsia="Times New Roman" w:hAnsi="Times New Roman" w:cs="Times New Roman"/>
          <w:bCs/>
          <w:sz w:val="24"/>
          <w:szCs w:val="24"/>
        </w:rPr>
        <w:t xml:space="preserve"> keterbukaan (</w:t>
      </w:r>
      <w:r w:rsidR="00AC474A" w:rsidRPr="00AC474A">
        <w:rPr>
          <w:rFonts w:ascii="Times New Roman" w:eastAsia="Times New Roman" w:hAnsi="Times New Roman" w:cs="Times New Roman"/>
          <w:bCs/>
          <w:i/>
          <w:iCs/>
          <w:sz w:val="24"/>
          <w:szCs w:val="24"/>
        </w:rPr>
        <w:t>inclusion</w:t>
      </w:r>
      <w:r w:rsidR="00AC474A">
        <w:rPr>
          <w:rFonts w:ascii="Times New Roman" w:eastAsia="Times New Roman" w:hAnsi="Times New Roman" w:cs="Times New Roman"/>
          <w:bCs/>
          <w:sz w:val="24"/>
          <w:szCs w:val="24"/>
        </w:rPr>
        <w:t xml:space="preserve">), dan </w:t>
      </w:r>
      <w:r w:rsidR="00AC474A" w:rsidRPr="00AC474A">
        <w:rPr>
          <w:rFonts w:ascii="Times New Roman" w:eastAsia="Times New Roman" w:hAnsi="Times New Roman" w:cs="Times New Roman"/>
          <w:bCs/>
          <w:sz w:val="24"/>
          <w:szCs w:val="24"/>
        </w:rPr>
        <w:t>keseimbangan</w:t>
      </w:r>
      <w:r w:rsidR="00AC474A">
        <w:rPr>
          <w:rFonts w:ascii="Times New Roman" w:eastAsia="Times New Roman" w:hAnsi="Times New Roman" w:cs="Times New Roman"/>
          <w:bCs/>
          <w:sz w:val="24"/>
          <w:szCs w:val="24"/>
        </w:rPr>
        <w:t xml:space="preserve"> </w:t>
      </w:r>
      <w:r w:rsidR="00AC474A" w:rsidRPr="00AC474A">
        <w:rPr>
          <w:rFonts w:ascii="Times New Roman" w:eastAsia="Times New Roman" w:hAnsi="Times New Roman" w:cs="Times New Roman"/>
          <w:bCs/>
          <w:sz w:val="24"/>
          <w:szCs w:val="24"/>
        </w:rPr>
        <w:t>(</w:t>
      </w:r>
      <w:r w:rsidR="00AC474A" w:rsidRPr="00AC474A">
        <w:rPr>
          <w:rFonts w:ascii="Times New Roman" w:eastAsia="Times New Roman" w:hAnsi="Times New Roman" w:cs="Times New Roman"/>
          <w:bCs/>
          <w:i/>
          <w:iCs/>
          <w:sz w:val="24"/>
          <w:szCs w:val="24"/>
        </w:rPr>
        <w:t>balance</w:t>
      </w:r>
      <w:r w:rsidR="00AC474A">
        <w:rPr>
          <w:rFonts w:ascii="Times New Roman" w:eastAsia="Times New Roman" w:hAnsi="Times New Roman" w:cs="Times New Roman"/>
          <w:bCs/>
          <w:sz w:val="24"/>
          <w:szCs w:val="24"/>
        </w:rPr>
        <w:t>).</w:t>
      </w:r>
      <w:r w:rsidR="00E970D4">
        <w:rPr>
          <w:rStyle w:val="FootnoteReference"/>
          <w:rFonts w:ascii="Times New Roman" w:eastAsia="Times New Roman" w:hAnsi="Times New Roman" w:cs="Times New Roman"/>
          <w:bCs/>
          <w:sz w:val="24"/>
          <w:szCs w:val="24"/>
        </w:rPr>
        <w:footnoteReference w:id="18"/>
      </w:r>
      <w:r w:rsidR="00AC474A">
        <w:rPr>
          <w:rFonts w:ascii="Times New Roman" w:eastAsia="Times New Roman" w:hAnsi="Times New Roman" w:cs="Times New Roman"/>
          <w:bCs/>
          <w:sz w:val="24"/>
          <w:szCs w:val="24"/>
        </w:rPr>
        <w:t xml:space="preserve"> </w:t>
      </w:r>
    </w:p>
    <w:p w:rsidR="00601924" w:rsidRDefault="00AC474A" w:rsidP="00AC474A">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Unsur pertama yang dimaksud dalam konteks k</w:t>
      </w:r>
      <w:r w:rsidRPr="00AC474A">
        <w:rPr>
          <w:rFonts w:ascii="Times New Roman" w:eastAsia="Times New Roman" w:hAnsi="Times New Roman" w:cs="Times New Roman"/>
          <w:bCs/>
          <w:sz w:val="24"/>
          <w:szCs w:val="24"/>
        </w:rPr>
        <w:t>eterhubungan</w:t>
      </w:r>
      <w:r>
        <w:rPr>
          <w:rFonts w:ascii="Times New Roman" w:eastAsia="Times New Roman" w:hAnsi="Times New Roman" w:cs="Times New Roman"/>
          <w:bCs/>
          <w:sz w:val="24"/>
          <w:szCs w:val="24"/>
        </w:rPr>
        <w:t xml:space="preserve"> yaitu dapat membawa pendidikan yang diajarkan memiliki kaitan dengan lingkungan sekitar, baik fisik, lingkungan sosial dan budaya. Sedangkan pada keterbukaan bahwa pendidikan berhak untuk diterima oleh siapapun. Kemudian pada konteks keseimbangan adalah perhatian antara kecerdasan intelektual, emosional dan keterampilan untuk dunia kerja dimaksimalkan secara bersamaan tanpa terkecuali.</w:t>
      </w:r>
    </w:p>
    <w:p w:rsidR="00AC474A" w:rsidRPr="008049C0" w:rsidRDefault="008049C0" w:rsidP="008049C0">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Permasalahan yang dilihat dalam kajian ini adalah konsep pendidikan holistik sebagaimana telah disampaikan apakah memiliki kesesuaian dengan pesan Al-Qur’an? untuk menjawab tantangan tersebut penulis menggunakan perangkat </w:t>
      </w:r>
      <w:r w:rsidRPr="008049C0">
        <w:rPr>
          <w:rFonts w:ascii="Times New Roman" w:eastAsia="Times New Roman" w:hAnsi="Times New Roman" w:cs="Times New Roman"/>
          <w:bCs/>
          <w:i/>
          <w:iCs/>
          <w:sz w:val="24"/>
          <w:szCs w:val="24"/>
        </w:rPr>
        <w:t>maqashid al-Syariah</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yang secara umum merupakan rumusan untuk melihat tujuan d</w:t>
      </w:r>
      <w:r w:rsidR="00691884">
        <w:rPr>
          <w:rFonts w:ascii="Times New Roman" w:eastAsia="Times New Roman" w:hAnsi="Times New Roman" w:cs="Times New Roman"/>
          <w:bCs/>
          <w:sz w:val="24"/>
          <w:szCs w:val="24"/>
        </w:rPr>
        <w:t>ari perintah syariat dengan pene</w:t>
      </w:r>
      <w:r>
        <w:rPr>
          <w:rFonts w:ascii="Times New Roman" w:eastAsia="Times New Roman" w:hAnsi="Times New Roman" w:cs="Times New Roman"/>
          <w:bCs/>
          <w:sz w:val="24"/>
          <w:szCs w:val="24"/>
        </w:rPr>
        <w:t xml:space="preserve">kanan pada lima unsur dasar (agama, jiwa, akal, keturunan, dan harta). Namun pengembangan dari lima unsur dasar tersebut terus dilakukan untuk bisa menjangkau pesan dari syariat pada unsur yang lebih luas sebagaimana dilakukan oleh Jasser Auda. </w:t>
      </w:r>
    </w:p>
    <w:p w:rsidR="00AC474A" w:rsidRDefault="00AC474A" w:rsidP="00601924">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Pr="00AC474A">
        <w:rPr>
          <w:rFonts w:ascii="Times New Roman" w:eastAsia="Times New Roman" w:hAnsi="Times New Roman" w:cs="Times New Roman"/>
          <w:bCs/>
          <w:i/>
          <w:iCs/>
          <w:sz w:val="24"/>
          <w:szCs w:val="24"/>
        </w:rPr>
        <w:t>Maqashid al-Syariah</w:t>
      </w:r>
      <w:r>
        <w:rPr>
          <w:rFonts w:ascii="Times New Roman" w:eastAsia="Times New Roman" w:hAnsi="Times New Roman" w:cs="Times New Roman"/>
          <w:bCs/>
          <w:sz w:val="24"/>
          <w:szCs w:val="24"/>
        </w:rPr>
        <w:t xml:space="preserve"> Jasser Auda</w:t>
      </w:r>
    </w:p>
    <w:p w:rsidR="00673B05" w:rsidRDefault="00AB5D9C" w:rsidP="002F10DC">
      <w:pPr>
        <w:ind w:firstLine="720"/>
        <w:jc w:val="both"/>
        <w:rPr>
          <w:rFonts w:ascii="Times New Roman" w:eastAsia="Times New Roman" w:hAnsi="Times New Roman" w:cs="Times New Roman"/>
          <w:bCs/>
          <w:sz w:val="24"/>
          <w:szCs w:val="24"/>
        </w:rPr>
      </w:pPr>
      <w:r w:rsidRPr="00AB5D9C">
        <w:rPr>
          <w:rFonts w:ascii="Times New Roman" w:eastAsia="Times New Roman" w:hAnsi="Times New Roman" w:cs="Times New Roman"/>
          <w:bCs/>
          <w:sz w:val="24"/>
          <w:szCs w:val="24"/>
        </w:rPr>
        <w:t>Jasser Auda lahir di Mesir tetapi menghabiskan sebagian besar hidupnya di Barat. Pada tahun 2008, ia meraih gelar PhD dengan fokus pada Filsafat Hukum Islam dari U</w:t>
      </w:r>
      <w:r>
        <w:rPr>
          <w:rFonts w:ascii="Times New Roman" w:eastAsia="Times New Roman" w:hAnsi="Times New Roman" w:cs="Times New Roman"/>
          <w:bCs/>
          <w:sz w:val="24"/>
          <w:szCs w:val="24"/>
        </w:rPr>
        <w:t>niversity of Wales di Inggris. Kemudian p</w:t>
      </w:r>
      <w:r w:rsidRPr="00AB5D9C">
        <w:rPr>
          <w:rFonts w:ascii="Times New Roman" w:eastAsia="Times New Roman" w:hAnsi="Times New Roman" w:cs="Times New Roman"/>
          <w:bCs/>
          <w:sz w:val="24"/>
          <w:szCs w:val="24"/>
        </w:rPr>
        <w:t>ada tahun 2006, ia meraih gelar PhD keduanya dari Uni</w:t>
      </w:r>
      <w:r w:rsidR="00D36F2B">
        <w:rPr>
          <w:rFonts w:ascii="Times New Roman" w:eastAsia="Times New Roman" w:hAnsi="Times New Roman" w:cs="Times New Roman"/>
          <w:bCs/>
          <w:sz w:val="24"/>
          <w:szCs w:val="24"/>
        </w:rPr>
        <w:t>versity of Waterloo di Kanada. Pada tahun 2004 i</w:t>
      </w:r>
      <w:r w:rsidRPr="00AB5D9C">
        <w:rPr>
          <w:rFonts w:ascii="Times New Roman" w:eastAsia="Times New Roman" w:hAnsi="Times New Roman" w:cs="Times New Roman"/>
          <w:bCs/>
          <w:sz w:val="24"/>
          <w:szCs w:val="24"/>
        </w:rPr>
        <w:t xml:space="preserve">a memperoleh gelar Master of Fiqh </w:t>
      </w:r>
      <w:r w:rsidR="00D36F2B">
        <w:rPr>
          <w:rFonts w:ascii="Times New Roman" w:eastAsia="Times New Roman" w:hAnsi="Times New Roman" w:cs="Times New Roman"/>
          <w:bCs/>
          <w:sz w:val="24"/>
          <w:szCs w:val="24"/>
        </w:rPr>
        <w:t xml:space="preserve">dengan kajiannya </w:t>
      </w:r>
      <w:r w:rsidR="00D36F2B" w:rsidRPr="00D36F2B">
        <w:rPr>
          <w:rFonts w:ascii="Times New Roman" w:eastAsia="Times New Roman" w:hAnsi="Times New Roman" w:cs="Times New Roman"/>
          <w:bCs/>
          <w:i/>
          <w:iCs/>
          <w:sz w:val="24"/>
          <w:szCs w:val="24"/>
        </w:rPr>
        <w:t>Maqashid al-Syariah</w:t>
      </w:r>
      <w:r w:rsidR="00D36F2B">
        <w:rPr>
          <w:rFonts w:ascii="Times New Roman" w:eastAsia="Times New Roman" w:hAnsi="Times New Roman" w:cs="Times New Roman"/>
          <w:bCs/>
          <w:sz w:val="24"/>
          <w:szCs w:val="24"/>
        </w:rPr>
        <w:t xml:space="preserve"> </w:t>
      </w:r>
      <w:r w:rsidRPr="00AB5D9C">
        <w:rPr>
          <w:rFonts w:ascii="Times New Roman" w:eastAsia="Times New Roman" w:hAnsi="Times New Roman" w:cs="Times New Roman"/>
          <w:bCs/>
          <w:sz w:val="24"/>
          <w:szCs w:val="24"/>
        </w:rPr>
        <w:t xml:space="preserve">di bidang hukum dari Islamic University of America, Michigan. </w:t>
      </w:r>
      <w:r w:rsidR="00D36F2B">
        <w:rPr>
          <w:rFonts w:ascii="Times New Roman" w:eastAsia="Times New Roman" w:hAnsi="Times New Roman" w:cs="Times New Roman"/>
          <w:bCs/>
          <w:sz w:val="24"/>
          <w:szCs w:val="24"/>
        </w:rPr>
        <w:t>Kemudian D</w:t>
      </w:r>
      <w:r w:rsidRPr="00AB5D9C">
        <w:rPr>
          <w:rFonts w:ascii="Times New Roman" w:eastAsia="Times New Roman" w:hAnsi="Times New Roman" w:cs="Times New Roman"/>
          <w:bCs/>
          <w:sz w:val="24"/>
          <w:szCs w:val="24"/>
        </w:rPr>
        <w:t>epartemen Studi Islam di Universitas Islam Amerika di Amerika Serikat memberikan gelar BA pada tahun 2001, dan Un</w:t>
      </w:r>
      <w:r w:rsidR="002F10DC">
        <w:rPr>
          <w:rFonts w:ascii="Times New Roman" w:eastAsia="Times New Roman" w:hAnsi="Times New Roman" w:cs="Times New Roman"/>
          <w:bCs/>
          <w:sz w:val="24"/>
          <w:szCs w:val="24"/>
        </w:rPr>
        <w:t>iversitas Teknik Kairo di Mesir’</w:t>
      </w:r>
      <w:r w:rsidRPr="00AB5D9C">
        <w:rPr>
          <w:rFonts w:ascii="Times New Roman" w:eastAsia="Times New Roman" w:hAnsi="Times New Roman" w:cs="Times New Roman"/>
          <w:bCs/>
          <w:sz w:val="24"/>
          <w:szCs w:val="24"/>
        </w:rPr>
        <w:t xml:space="preserve">s Course Av memberikan gelar BSc pada tahun 1988. </w:t>
      </w:r>
      <w:r w:rsidR="00D36F2B">
        <w:rPr>
          <w:rFonts w:ascii="Times New Roman" w:eastAsia="Times New Roman" w:hAnsi="Times New Roman" w:cs="Times New Roman"/>
          <w:bCs/>
          <w:sz w:val="24"/>
          <w:szCs w:val="24"/>
        </w:rPr>
        <w:t xml:space="preserve">Menariknya, Jasser Auda medapatkan ilmu-ilmu Islam dan Al-Qur’an dari </w:t>
      </w:r>
      <w:r w:rsidRPr="00AB5D9C">
        <w:rPr>
          <w:rFonts w:ascii="Times New Roman" w:eastAsia="Times New Roman" w:hAnsi="Times New Roman" w:cs="Times New Roman"/>
          <w:bCs/>
          <w:sz w:val="24"/>
          <w:szCs w:val="24"/>
        </w:rPr>
        <w:t>Masjid Al-Azh</w:t>
      </w:r>
      <w:r w:rsidR="00D36F2B">
        <w:rPr>
          <w:rFonts w:ascii="Times New Roman" w:eastAsia="Times New Roman" w:hAnsi="Times New Roman" w:cs="Times New Roman"/>
          <w:bCs/>
          <w:sz w:val="24"/>
          <w:szCs w:val="24"/>
        </w:rPr>
        <w:t>ar.</w:t>
      </w:r>
      <w:r w:rsidR="00D36F2B">
        <w:rPr>
          <w:rStyle w:val="FootnoteReference"/>
          <w:rFonts w:ascii="Times New Roman" w:eastAsia="Times New Roman" w:hAnsi="Times New Roman" w:cs="Times New Roman"/>
          <w:bCs/>
          <w:sz w:val="24"/>
          <w:szCs w:val="24"/>
        </w:rPr>
        <w:footnoteReference w:id="19"/>
      </w:r>
    </w:p>
    <w:p w:rsidR="00673B05" w:rsidRDefault="002F10DC" w:rsidP="00E32948">
      <w:pPr>
        <w:ind w:firstLine="720"/>
        <w:jc w:val="both"/>
        <w:rPr>
          <w:rFonts w:ascii="Times New Roman" w:eastAsia="Times New Roman" w:hAnsi="Times New Roman" w:cs="Times New Roman"/>
          <w:bCs/>
          <w:sz w:val="24"/>
          <w:szCs w:val="24"/>
        </w:rPr>
      </w:pPr>
      <w:r w:rsidRPr="00691884">
        <w:rPr>
          <w:rFonts w:ascii="Times New Roman" w:eastAsia="Times New Roman" w:hAnsi="Times New Roman" w:cs="Times New Roman"/>
          <w:bCs/>
          <w:i/>
          <w:iCs/>
          <w:sz w:val="24"/>
          <w:szCs w:val="24"/>
        </w:rPr>
        <w:t>Maqashid al-Syariah</w:t>
      </w:r>
      <w:r>
        <w:rPr>
          <w:rFonts w:ascii="Times New Roman" w:eastAsia="Times New Roman" w:hAnsi="Times New Roman" w:cs="Times New Roman"/>
          <w:bCs/>
          <w:sz w:val="24"/>
          <w:szCs w:val="24"/>
        </w:rPr>
        <w:t xml:space="preserve"> dalam pandangan Jasser Auda dianggap sebagai kumpulan prinsip-prinsip yang menyediakan segudang terobosan atas pertanyaan-petanyaan penting seputar huku </w:t>
      </w:r>
      <w:r>
        <w:rPr>
          <w:rFonts w:ascii="Times New Roman" w:eastAsia="Times New Roman" w:hAnsi="Times New Roman" w:cs="Times New Roman"/>
          <w:bCs/>
          <w:sz w:val="24"/>
          <w:szCs w:val="24"/>
        </w:rPr>
        <w:lastRenderedPageBreak/>
        <w:t xml:space="preserve">syariat. </w:t>
      </w:r>
      <w:r w:rsidR="00A46C1B">
        <w:rPr>
          <w:rFonts w:ascii="Times New Roman" w:eastAsia="Times New Roman" w:hAnsi="Times New Roman" w:cs="Times New Roman"/>
          <w:bCs/>
          <w:sz w:val="24"/>
          <w:szCs w:val="24"/>
        </w:rPr>
        <w:t>Sebagai pembuka bukunya Jasser memberikan beberapa pertanyaan ringan, seperti kenapa orang harus berpuasa, untuk tujuan apa? Dan kenapa dalam Islam minum alkohol dimasukkan sebagai kategori perbuatan yang berimplikasi pada dosa besar?</w:t>
      </w:r>
      <w:r w:rsidR="00200C0C">
        <w:rPr>
          <w:rStyle w:val="FootnoteReference"/>
          <w:rFonts w:ascii="Times New Roman" w:eastAsia="Times New Roman" w:hAnsi="Times New Roman" w:cs="Times New Roman"/>
          <w:bCs/>
          <w:sz w:val="24"/>
          <w:szCs w:val="24"/>
        </w:rPr>
        <w:footnoteReference w:id="20"/>
      </w:r>
    </w:p>
    <w:p w:rsidR="00A46C1B" w:rsidRPr="00631307" w:rsidRDefault="00631307" w:rsidP="00000090">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Jasser ketika mengurai makna </w:t>
      </w:r>
      <w:r w:rsidRPr="00631307">
        <w:rPr>
          <w:rFonts w:ascii="Times New Roman" w:eastAsia="Times New Roman" w:hAnsi="Times New Roman" w:cs="Times New Roman"/>
          <w:bCs/>
          <w:i/>
          <w:iCs/>
          <w:sz w:val="24"/>
          <w:szCs w:val="24"/>
        </w:rPr>
        <w:t>maqashid al-Syariah</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xml:space="preserve">juga diikuti dengan upaya-upaya kritis dengan menyertakan pendapat para ulama salaf yang memiliki konsentrasi di bidang ini. Misalnya ia kutip pendapat </w:t>
      </w:r>
      <w:r w:rsidR="009D27E3">
        <w:rPr>
          <w:rFonts w:ascii="Times New Roman" w:eastAsia="Times New Roman" w:hAnsi="Times New Roman" w:cs="Times New Roman"/>
          <w:bCs/>
          <w:sz w:val="24"/>
          <w:szCs w:val="24"/>
        </w:rPr>
        <w:t xml:space="preserve">Malik al-Juwaini </w:t>
      </w:r>
      <w:r w:rsidR="002874F1">
        <w:rPr>
          <w:rFonts w:ascii="Times New Roman" w:eastAsia="Times New Roman" w:hAnsi="Times New Roman" w:cs="Times New Roman"/>
          <w:bCs/>
          <w:sz w:val="24"/>
          <w:szCs w:val="24"/>
        </w:rPr>
        <w:t xml:space="preserve">(w. 1085 M) </w:t>
      </w:r>
      <w:r w:rsidR="009D27E3">
        <w:rPr>
          <w:rFonts w:ascii="Times New Roman" w:eastAsia="Times New Roman" w:hAnsi="Times New Roman" w:cs="Times New Roman"/>
          <w:bCs/>
          <w:sz w:val="24"/>
          <w:szCs w:val="24"/>
        </w:rPr>
        <w:t xml:space="preserve">sebagai tokoh pertama yang memiliki gagasan tersebut </w:t>
      </w:r>
      <w:r w:rsidR="00000090">
        <w:rPr>
          <w:rFonts w:ascii="Times New Roman" w:eastAsia="Times New Roman" w:hAnsi="Times New Roman" w:cs="Times New Roman"/>
          <w:bCs/>
          <w:sz w:val="24"/>
          <w:szCs w:val="24"/>
        </w:rPr>
        <w:t>yang disandingkan dengan</w:t>
      </w:r>
      <w:r w:rsidR="009D27E3">
        <w:rPr>
          <w:rFonts w:ascii="Times New Roman" w:eastAsia="Times New Roman" w:hAnsi="Times New Roman" w:cs="Times New Roman"/>
          <w:bCs/>
          <w:sz w:val="24"/>
          <w:szCs w:val="24"/>
        </w:rPr>
        <w:t xml:space="preserve"> diksi </w:t>
      </w:r>
      <w:r w:rsidR="009D27E3" w:rsidRPr="009D27E3">
        <w:rPr>
          <w:rFonts w:ascii="Times New Roman" w:eastAsia="Times New Roman" w:hAnsi="Times New Roman" w:cs="Times New Roman"/>
          <w:bCs/>
          <w:i/>
          <w:iCs/>
          <w:sz w:val="24"/>
          <w:szCs w:val="24"/>
        </w:rPr>
        <w:t>al-Mashalih</w:t>
      </w:r>
      <w:r w:rsidR="00000090">
        <w:rPr>
          <w:rFonts w:ascii="Times New Roman" w:eastAsia="Times New Roman" w:hAnsi="Times New Roman" w:cs="Times New Roman"/>
          <w:bCs/>
          <w:i/>
          <w:iCs/>
          <w:sz w:val="24"/>
          <w:szCs w:val="24"/>
        </w:rPr>
        <w:t xml:space="preserve"> al</w:t>
      </w:r>
      <w:proofErr w:type="gramStart"/>
      <w:r w:rsidR="00000090">
        <w:rPr>
          <w:rFonts w:ascii="Times New Roman" w:eastAsia="Times New Roman" w:hAnsi="Times New Roman" w:cs="Times New Roman"/>
          <w:bCs/>
          <w:i/>
          <w:iCs/>
          <w:sz w:val="24"/>
          <w:szCs w:val="24"/>
        </w:rPr>
        <w:t>-‘</w:t>
      </w:r>
      <w:proofErr w:type="gramEnd"/>
      <w:r w:rsidR="00000090">
        <w:rPr>
          <w:rFonts w:ascii="Times New Roman" w:eastAsia="Times New Roman" w:hAnsi="Times New Roman" w:cs="Times New Roman"/>
          <w:bCs/>
          <w:i/>
          <w:iCs/>
          <w:sz w:val="24"/>
          <w:szCs w:val="24"/>
        </w:rPr>
        <w:t>Ammah</w:t>
      </w:r>
      <w:r w:rsidR="002874F1">
        <w:rPr>
          <w:rFonts w:ascii="Times New Roman" w:eastAsia="Times New Roman" w:hAnsi="Times New Roman" w:cs="Times New Roman"/>
          <w:bCs/>
          <w:sz w:val="24"/>
          <w:szCs w:val="24"/>
        </w:rPr>
        <w:t xml:space="preserve"> kemudian dilanjutkan oleh Abu Hamid al-Ghazali (w. 1111 M)</w:t>
      </w:r>
      <w:r w:rsidR="00CE0E16">
        <w:rPr>
          <w:rFonts w:ascii="Times New Roman" w:eastAsia="Times New Roman" w:hAnsi="Times New Roman" w:cs="Times New Roman"/>
          <w:bCs/>
          <w:sz w:val="24"/>
          <w:szCs w:val="24"/>
        </w:rPr>
        <w:t xml:space="preserve"> yang disandingkan dengan </w:t>
      </w:r>
      <w:r w:rsidR="00CE0E16" w:rsidRPr="00CE0E16">
        <w:rPr>
          <w:rFonts w:ascii="Times New Roman" w:eastAsia="Times New Roman" w:hAnsi="Times New Roman" w:cs="Times New Roman"/>
          <w:bCs/>
          <w:i/>
          <w:iCs/>
          <w:sz w:val="24"/>
          <w:szCs w:val="24"/>
        </w:rPr>
        <w:t>al-Mas</w:t>
      </w:r>
      <w:r w:rsidR="00CE0E16">
        <w:rPr>
          <w:rFonts w:ascii="Times New Roman" w:eastAsia="Times New Roman" w:hAnsi="Times New Roman" w:cs="Times New Roman"/>
          <w:bCs/>
          <w:i/>
          <w:iCs/>
          <w:sz w:val="24"/>
          <w:szCs w:val="24"/>
        </w:rPr>
        <w:t>h</w:t>
      </w:r>
      <w:r w:rsidR="00CE0E16" w:rsidRPr="00CE0E16">
        <w:rPr>
          <w:rFonts w:ascii="Times New Roman" w:eastAsia="Times New Roman" w:hAnsi="Times New Roman" w:cs="Times New Roman"/>
          <w:bCs/>
          <w:i/>
          <w:iCs/>
          <w:sz w:val="24"/>
          <w:szCs w:val="24"/>
        </w:rPr>
        <w:t>alih al-Mursalah</w:t>
      </w:r>
      <w:r w:rsidR="00CE0E16">
        <w:rPr>
          <w:rFonts w:ascii="Times New Roman" w:eastAsia="Times New Roman" w:hAnsi="Times New Roman" w:cs="Times New Roman"/>
          <w:bCs/>
          <w:sz w:val="24"/>
          <w:szCs w:val="24"/>
        </w:rPr>
        <w:t xml:space="preserve">. Setelah itu muncul tokoh Fakruddin al-Razi (w. 1209 M) dan al-Amidi (w. 1234 </w:t>
      </w:r>
      <w:r w:rsidR="006137A2">
        <w:rPr>
          <w:rFonts w:ascii="Times New Roman" w:eastAsia="Times New Roman" w:hAnsi="Times New Roman" w:cs="Times New Roman"/>
          <w:bCs/>
          <w:sz w:val="24"/>
          <w:szCs w:val="24"/>
        </w:rPr>
        <w:t>M) sampai pada era al-Qarafi (w. 1868 M) yang memberikan penegasan bahwa inti besar dari Maqashid adalah mengaitkan tujuan-tujuan fundamental syariat (ushuli) pada ranah kemaslahatan dan memahami secara detil sisi kemudaratan.</w:t>
      </w:r>
      <w:r w:rsidR="00F66268">
        <w:rPr>
          <w:rStyle w:val="FootnoteReference"/>
          <w:rFonts w:ascii="Times New Roman" w:eastAsia="Times New Roman" w:hAnsi="Times New Roman" w:cs="Times New Roman"/>
          <w:bCs/>
          <w:sz w:val="24"/>
          <w:szCs w:val="24"/>
        </w:rPr>
        <w:footnoteReference w:id="21"/>
      </w:r>
      <w:r w:rsidR="00CE0E16">
        <w:rPr>
          <w:rFonts w:ascii="Times New Roman" w:eastAsia="Times New Roman" w:hAnsi="Times New Roman" w:cs="Times New Roman"/>
          <w:bCs/>
          <w:sz w:val="24"/>
          <w:szCs w:val="24"/>
        </w:rPr>
        <w:t xml:space="preserve"> </w:t>
      </w:r>
      <w:r w:rsidR="009D27E3">
        <w:rPr>
          <w:rFonts w:ascii="Times New Roman" w:eastAsia="Times New Roman" w:hAnsi="Times New Roman" w:cs="Times New Roman"/>
          <w:bCs/>
          <w:sz w:val="24"/>
          <w:szCs w:val="24"/>
        </w:rPr>
        <w:t xml:space="preserve"> </w:t>
      </w:r>
    </w:p>
    <w:p w:rsidR="00382D67" w:rsidRDefault="00F25721" w:rsidP="00E23BA2">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Meskipun demikian menurut Jasser, selama diskursus tentang </w:t>
      </w:r>
      <w:r w:rsidRPr="00691884">
        <w:rPr>
          <w:rFonts w:ascii="Times New Roman" w:eastAsia="Times New Roman" w:hAnsi="Times New Roman" w:cs="Times New Roman"/>
          <w:bCs/>
          <w:i/>
          <w:iCs/>
          <w:sz w:val="24"/>
          <w:szCs w:val="24"/>
        </w:rPr>
        <w:t>maqashid</w:t>
      </w:r>
      <w:r>
        <w:rPr>
          <w:rFonts w:ascii="Times New Roman" w:eastAsia="Times New Roman" w:hAnsi="Times New Roman" w:cs="Times New Roman"/>
          <w:bCs/>
          <w:sz w:val="24"/>
          <w:szCs w:val="24"/>
        </w:rPr>
        <w:t xml:space="preserve"> itu berlangsung dari era awal hingga kontemporer, setidaknya pada era Al-Qarafi yang hidup pada paruh akhir abad 19 masih dinilai belum sesuai dengan perkembangan kontemporer. Bahkan ia melihat ada celah penting yang masih tertutup antara tujuan dan kemaslahatan dalam ketentuan-ketentuan fundamental (</w:t>
      </w:r>
      <w:r w:rsidRPr="00F25721">
        <w:rPr>
          <w:rFonts w:ascii="Times New Roman" w:eastAsia="Times New Roman" w:hAnsi="Times New Roman" w:cs="Times New Roman"/>
          <w:bCs/>
          <w:i/>
          <w:iCs/>
          <w:sz w:val="24"/>
          <w:szCs w:val="24"/>
        </w:rPr>
        <w:t>ushuli</w:t>
      </w:r>
      <w:r>
        <w:rPr>
          <w:rFonts w:ascii="Times New Roman" w:eastAsia="Times New Roman" w:hAnsi="Times New Roman" w:cs="Times New Roman"/>
          <w:bCs/>
          <w:sz w:val="24"/>
          <w:szCs w:val="24"/>
        </w:rPr>
        <w:t xml:space="preserve">) semenjak teori </w:t>
      </w:r>
      <w:r w:rsidRPr="00691884">
        <w:rPr>
          <w:rFonts w:ascii="Times New Roman" w:eastAsia="Times New Roman" w:hAnsi="Times New Roman" w:cs="Times New Roman"/>
          <w:bCs/>
          <w:i/>
          <w:iCs/>
          <w:sz w:val="24"/>
          <w:szCs w:val="24"/>
        </w:rPr>
        <w:t>maqashid</w:t>
      </w:r>
      <w:r>
        <w:rPr>
          <w:rFonts w:ascii="Times New Roman" w:eastAsia="Times New Roman" w:hAnsi="Times New Roman" w:cs="Times New Roman"/>
          <w:bCs/>
          <w:sz w:val="24"/>
          <w:szCs w:val="24"/>
        </w:rPr>
        <w:t xml:space="preserve"> dikembangkan, yaitu abad 5-8 Hijriyyah.</w:t>
      </w:r>
      <w:r w:rsidR="00E23BA2">
        <w:rPr>
          <w:rFonts w:ascii="Times New Roman" w:eastAsia="Times New Roman" w:hAnsi="Times New Roman" w:cs="Times New Roman"/>
          <w:bCs/>
          <w:sz w:val="24"/>
          <w:szCs w:val="24"/>
        </w:rPr>
        <w:t xml:space="preserve"> Dari sudut pandang ini mendorong Jasser mengembangkan klasifikasi tahapan-tahapan pada </w:t>
      </w:r>
      <w:r w:rsidR="00E23BA2" w:rsidRPr="00691884">
        <w:rPr>
          <w:rFonts w:ascii="Times New Roman" w:eastAsia="Times New Roman" w:hAnsi="Times New Roman" w:cs="Times New Roman"/>
          <w:bCs/>
          <w:i/>
          <w:iCs/>
          <w:sz w:val="24"/>
          <w:szCs w:val="24"/>
        </w:rPr>
        <w:t>maqashid</w:t>
      </w:r>
      <w:r w:rsidR="00E23BA2">
        <w:rPr>
          <w:rFonts w:ascii="Times New Roman" w:eastAsia="Times New Roman" w:hAnsi="Times New Roman" w:cs="Times New Roman"/>
          <w:bCs/>
          <w:sz w:val="24"/>
          <w:szCs w:val="24"/>
        </w:rPr>
        <w:t xml:space="preserve"> yang terbagi menjadi tiga: primer, sekunder dan tersier.</w:t>
      </w:r>
    </w:p>
    <w:p w:rsidR="002B2E98" w:rsidRDefault="00F25721" w:rsidP="006C0590">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C0590">
        <w:rPr>
          <w:rFonts w:ascii="Times New Roman" w:eastAsia="Times New Roman" w:hAnsi="Times New Roman" w:cs="Times New Roman"/>
          <w:bCs/>
          <w:sz w:val="24"/>
          <w:szCs w:val="24"/>
        </w:rPr>
        <w:t>Menurut Auda, t</w:t>
      </w:r>
      <w:r w:rsidR="0088072D">
        <w:rPr>
          <w:rFonts w:ascii="Times New Roman" w:eastAsia="Times New Roman" w:hAnsi="Times New Roman" w:cs="Times New Roman"/>
          <w:bCs/>
          <w:sz w:val="24"/>
          <w:szCs w:val="24"/>
        </w:rPr>
        <w:t xml:space="preserve">iga klasifikasi tersebut </w:t>
      </w:r>
      <w:r w:rsidR="006C0590">
        <w:rPr>
          <w:rFonts w:ascii="Times New Roman" w:eastAsia="Times New Roman" w:hAnsi="Times New Roman" w:cs="Times New Roman"/>
          <w:bCs/>
          <w:sz w:val="24"/>
          <w:szCs w:val="24"/>
        </w:rPr>
        <w:t xml:space="preserve">mencakup lima tujuan besar </w:t>
      </w:r>
      <w:r w:rsidR="0088072D">
        <w:rPr>
          <w:rFonts w:ascii="Times New Roman" w:eastAsia="Times New Roman" w:hAnsi="Times New Roman" w:cs="Times New Roman"/>
          <w:bCs/>
          <w:sz w:val="24"/>
          <w:szCs w:val="24"/>
        </w:rPr>
        <w:t>diterapkannya s</w:t>
      </w:r>
      <w:r w:rsidR="006C0590">
        <w:rPr>
          <w:rFonts w:ascii="Times New Roman" w:eastAsia="Times New Roman" w:hAnsi="Times New Roman" w:cs="Times New Roman"/>
          <w:bCs/>
          <w:sz w:val="24"/>
          <w:szCs w:val="24"/>
        </w:rPr>
        <w:t>yariat yang populer di era awal, yaitu</w:t>
      </w:r>
      <w:r w:rsidR="0088072D">
        <w:rPr>
          <w:rFonts w:ascii="Times New Roman" w:eastAsia="Times New Roman" w:hAnsi="Times New Roman" w:cs="Times New Roman"/>
          <w:bCs/>
          <w:sz w:val="24"/>
          <w:szCs w:val="24"/>
        </w:rPr>
        <w:t xml:space="preserve"> menjaga agama, menjaga jiwa, menjaga harta, menjaga akal, menjaga keturunan. Kemudian di era kontemporer ditambahkan dengan menjaga kehormatan sebagai pondasi untuk mencakup esensi kemanusiaan dalam menerapkan hukum Islam.</w:t>
      </w:r>
      <w:r w:rsidR="006C0590">
        <w:rPr>
          <w:rFonts w:ascii="Times New Roman" w:eastAsia="Times New Roman" w:hAnsi="Times New Roman" w:cs="Times New Roman"/>
          <w:bCs/>
          <w:sz w:val="24"/>
          <w:szCs w:val="24"/>
        </w:rPr>
        <w:t xml:space="preserve"> </w:t>
      </w:r>
      <w:r w:rsidR="00742090">
        <w:rPr>
          <w:rFonts w:ascii="Times New Roman" w:eastAsia="Times New Roman" w:hAnsi="Times New Roman" w:cs="Times New Roman"/>
          <w:bCs/>
          <w:sz w:val="24"/>
          <w:szCs w:val="24"/>
        </w:rPr>
        <w:t>Namun semua klasifikasi tersebut memiliki kaitan dengan unsur tersier (</w:t>
      </w:r>
      <w:r w:rsidR="00742090" w:rsidRPr="00742090">
        <w:rPr>
          <w:rFonts w:ascii="Times New Roman" w:eastAsia="Times New Roman" w:hAnsi="Times New Roman" w:cs="Times New Roman"/>
          <w:bCs/>
          <w:i/>
          <w:iCs/>
          <w:sz w:val="24"/>
          <w:szCs w:val="24"/>
        </w:rPr>
        <w:t>tahsiniyyat</w:t>
      </w:r>
      <w:r w:rsidR="00742090">
        <w:rPr>
          <w:rFonts w:ascii="Times New Roman" w:eastAsia="Times New Roman" w:hAnsi="Times New Roman" w:cs="Times New Roman"/>
          <w:bCs/>
          <w:sz w:val="24"/>
          <w:szCs w:val="24"/>
        </w:rPr>
        <w:t xml:space="preserve">) maupun sekunder, yang dalam bahasa Auda sebagai </w:t>
      </w:r>
      <w:r w:rsidR="002B2E98">
        <w:rPr>
          <w:rFonts w:ascii="Times New Roman" w:eastAsia="Times New Roman" w:hAnsi="Times New Roman" w:cs="Times New Roman"/>
          <w:bCs/>
          <w:sz w:val="24"/>
          <w:szCs w:val="24"/>
        </w:rPr>
        <w:t>dilihat memiliki intere</w:t>
      </w:r>
      <w:r w:rsidR="00742090">
        <w:rPr>
          <w:rFonts w:ascii="Times New Roman" w:eastAsia="Times New Roman" w:hAnsi="Times New Roman" w:cs="Times New Roman"/>
          <w:bCs/>
          <w:sz w:val="24"/>
          <w:szCs w:val="24"/>
        </w:rPr>
        <w:t>lasi.</w:t>
      </w:r>
    </w:p>
    <w:p w:rsidR="00451FC7" w:rsidRDefault="002B2E98" w:rsidP="006C0590">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Jauh lebih penting konsep Maqashid yang dikembangkan oleh Auda ini melakukan bangunan ulang dengan maqashid klasik yang menurutnya sudah waktunya dikembangkan di era kontemporer. Auda membandingkan bagaimana teori hierarki kebutuhan manusia Abraham Maslow yang digagas pada tahun 1943 hanya mencerminkan 5 level kemudian pada tahun 1970 an ditambahkan menjadi 7 level. Kasus Maslow ini dilihat oleh Auda menarik untuk dikaitkan pada tujuan dari syariat Islam yang harus diterapkan seiring dengan perkembangan sosial. </w:t>
      </w:r>
    </w:p>
    <w:p w:rsidR="00CB51AB" w:rsidRDefault="00451FC7" w:rsidP="006C0590">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Setelah memberikan paparan kritis, Auda memberikan klasifikasi baru dalam </w:t>
      </w:r>
      <w:r w:rsidRPr="00451FC7">
        <w:rPr>
          <w:rFonts w:ascii="Times New Roman" w:eastAsia="Times New Roman" w:hAnsi="Times New Roman" w:cs="Times New Roman"/>
          <w:bCs/>
          <w:i/>
          <w:iCs/>
          <w:sz w:val="24"/>
          <w:szCs w:val="24"/>
        </w:rPr>
        <w:t>maqashid</w:t>
      </w:r>
      <w:r w:rsidR="00FD736E">
        <w:rPr>
          <w:rFonts w:ascii="Times New Roman" w:eastAsia="Times New Roman" w:hAnsi="Times New Roman" w:cs="Times New Roman"/>
          <w:bCs/>
          <w:sz w:val="24"/>
          <w:szCs w:val="24"/>
        </w:rPr>
        <w:t xml:space="preserve"> yang harus dipertimbangkan dengan munculnya dimensi baru. Dengan demikian setidaknya dia menawarkan tiga level dalam memahami </w:t>
      </w:r>
      <w:r w:rsidR="00FD736E" w:rsidRPr="00691884">
        <w:rPr>
          <w:rFonts w:ascii="Times New Roman" w:eastAsia="Times New Roman" w:hAnsi="Times New Roman" w:cs="Times New Roman"/>
          <w:bCs/>
          <w:i/>
          <w:iCs/>
          <w:sz w:val="24"/>
          <w:szCs w:val="24"/>
        </w:rPr>
        <w:t>maqashid</w:t>
      </w:r>
      <w:r w:rsidR="00FD736E">
        <w:rPr>
          <w:rFonts w:ascii="Times New Roman" w:eastAsia="Times New Roman" w:hAnsi="Times New Roman" w:cs="Times New Roman"/>
          <w:bCs/>
          <w:sz w:val="24"/>
          <w:szCs w:val="24"/>
        </w:rPr>
        <w:t xml:space="preserve">. </w:t>
      </w:r>
      <w:r w:rsidR="00FD736E" w:rsidRPr="005A1122">
        <w:rPr>
          <w:rFonts w:ascii="Times New Roman" w:eastAsia="Times New Roman" w:hAnsi="Times New Roman" w:cs="Times New Roman"/>
          <w:bCs/>
          <w:i/>
          <w:iCs/>
          <w:sz w:val="24"/>
          <w:szCs w:val="24"/>
        </w:rPr>
        <w:t>Pertama</w:t>
      </w:r>
      <w:r w:rsidR="00FD736E">
        <w:rPr>
          <w:rFonts w:ascii="Times New Roman" w:eastAsia="Times New Roman" w:hAnsi="Times New Roman" w:cs="Times New Roman"/>
          <w:bCs/>
          <w:sz w:val="24"/>
          <w:szCs w:val="24"/>
        </w:rPr>
        <w:t xml:space="preserve">, </w:t>
      </w:r>
      <w:r w:rsidR="00FD736E" w:rsidRPr="00691884">
        <w:rPr>
          <w:rFonts w:ascii="Times New Roman" w:eastAsia="Times New Roman" w:hAnsi="Times New Roman" w:cs="Times New Roman"/>
          <w:bCs/>
          <w:i/>
          <w:iCs/>
          <w:sz w:val="24"/>
          <w:szCs w:val="24"/>
        </w:rPr>
        <w:t>maqashid</w:t>
      </w:r>
      <w:r w:rsidR="00FD736E">
        <w:rPr>
          <w:rFonts w:ascii="Times New Roman" w:eastAsia="Times New Roman" w:hAnsi="Times New Roman" w:cs="Times New Roman"/>
          <w:bCs/>
          <w:sz w:val="24"/>
          <w:szCs w:val="24"/>
        </w:rPr>
        <w:t xml:space="preserve"> umum (</w:t>
      </w:r>
      <w:r w:rsidR="00FD736E" w:rsidRPr="00FD736E">
        <w:rPr>
          <w:rFonts w:ascii="Times New Roman" w:eastAsia="Times New Roman" w:hAnsi="Times New Roman" w:cs="Times New Roman"/>
          <w:bCs/>
          <w:i/>
          <w:iCs/>
          <w:sz w:val="24"/>
          <w:szCs w:val="24"/>
        </w:rPr>
        <w:t>general maqashid</w:t>
      </w:r>
      <w:r w:rsidR="00BE011A">
        <w:rPr>
          <w:rFonts w:ascii="Times New Roman" w:eastAsia="Times New Roman" w:hAnsi="Times New Roman" w:cs="Times New Roman"/>
          <w:bCs/>
          <w:sz w:val="24"/>
          <w:szCs w:val="24"/>
        </w:rPr>
        <w:t>) yang berkaitan dengan kebutuhan primer maupun sekunder dengan melihat secara utuh unsur hukum Islam dengan pertimb</w:t>
      </w:r>
      <w:r w:rsidR="00AA1065">
        <w:rPr>
          <w:rFonts w:ascii="Times New Roman" w:eastAsia="Times New Roman" w:hAnsi="Times New Roman" w:cs="Times New Roman"/>
          <w:bCs/>
          <w:sz w:val="24"/>
          <w:szCs w:val="24"/>
        </w:rPr>
        <w:t xml:space="preserve">angan tujuan baru, seperti hukum pada </w:t>
      </w:r>
      <w:r w:rsidR="00BE011A">
        <w:rPr>
          <w:rFonts w:ascii="Times New Roman" w:eastAsia="Times New Roman" w:hAnsi="Times New Roman" w:cs="Times New Roman"/>
          <w:bCs/>
          <w:sz w:val="24"/>
          <w:szCs w:val="24"/>
        </w:rPr>
        <w:t xml:space="preserve">keadilan dan fasilitas. </w:t>
      </w:r>
      <w:r w:rsidR="00BE011A" w:rsidRPr="005A1122">
        <w:rPr>
          <w:rFonts w:ascii="Times New Roman" w:eastAsia="Times New Roman" w:hAnsi="Times New Roman" w:cs="Times New Roman"/>
          <w:bCs/>
          <w:i/>
          <w:iCs/>
          <w:sz w:val="24"/>
          <w:szCs w:val="24"/>
        </w:rPr>
        <w:t>Kedua</w:t>
      </w:r>
      <w:r w:rsidR="00BE011A">
        <w:rPr>
          <w:rFonts w:ascii="Times New Roman" w:eastAsia="Times New Roman" w:hAnsi="Times New Roman" w:cs="Times New Roman"/>
          <w:bCs/>
          <w:sz w:val="24"/>
          <w:szCs w:val="24"/>
        </w:rPr>
        <w:t xml:space="preserve">, </w:t>
      </w:r>
      <w:r w:rsidR="00AA1065" w:rsidRPr="00691884">
        <w:rPr>
          <w:rFonts w:ascii="Times New Roman" w:eastAsia="Times New Roman" w:hAnsi="Times New Roman" w:cs="Times New Roman"/>
          <w:bCs/>
          <w:i/>
          <w:iCs/>
          <w:sz w:val="24"/>
          <w:szCs w:val="24"/>
        </w:rPr>
        <w:t xml:space="preserve">maqashid </w:t>
      </w:r>
      <w:r w:rsidR="00AA1065">
        <w:rPr>
          <w:rFonts w:ascii="Times New Roman" w:eastAsia="Times New Roman" w:hAnsi="Times New Roman" w:cs="Times New Roman"/>
          <w:bCs/>
          <w:sz w:val="24"/>
          <w:szCs w:val="24"/>
        </w:rPr>
        <w:t xml:space="preserve">secara khusus, yang diamati dari bagian hukum Islam, seperti pada </w:t>
      </w:r>
      <w:r w:rsidR="00AA1065">
        <w:rPr>
          <w:rFonts w:ascii="Times New Roman" w:eastAsia="Times New Roman" w:hAnsi="Times New Roman" w:cs="Times New Roman"/>
          <w:bCs/>
          <w:sz w:val="24"/>
          <w:szCs w:val="24"/>
        </w:rPr>
        <w:lastRenderedPageBreak/>
        <w:t xml:space="preserve">kasus gizi buruk dalam hukum keluarga, pencegahan kriminal dalam hukum kriminal dan </w:t>
      </w:r>
      <w:r w:rsidR="00823C3F">
        <w:rPr>
          <w:rFonts w:ascii="Times New Roman" w:eastAsia="Times New Roman" w:hAnsi="Times New Roman" w:cs="Times New Roman"/>
          <w:bCs/>
          <w:sz w:val="24"/>
          <w:szCs w:val="24"/>
        </w:rPr>
        <w:t>kasus monopoli keuangan dalam hukum transaksi keuangan.</w:t>
      </w:r>
      <w:r w:rsidR="005A1122">
        <w:rPr>
          <w:rFonts w:ascii="Times New Roman" w:eastAsia="Times New Roman" w:hAnsi="Times New Roman" w:cs="Times New Roman"/>
          <w:bCs/>
          <w:sz w:val="24"/>
          <w:szCs w:val="24"/>
        </w:rPr>
        <w:t xml:space="preserve"> </w:t>
      </w:r>
      <w:r w:rsidR="00CD5483">
        <w:rPr>
          <w:rFonts w:ascii="Times New Roman" w:eastAsia="Times New Roman" w:hAnsi="Times New Roman" w:cs="Times New Roman"/>
          <w:bCs/>
          <w:sz w:val="24"/>
          <w:szCs w:val="24"/>
        </w:rPr>
        <w:t xml:space="preserve">Ketiga disebut </w:t>
      </w:r>
      <w:r w:rsidR="00CD5483" w:rsidRPr="00CD5483">
        <w:rPr>
          <w:rFonts w:ascii="Times New Roman" w:eastAsia="Times New Roman" w:hAnsi="Times New Roman" w:cs="Times New Roman"/>
          <w:bCs/>
          <w:i/>
          <w:iCs/>
          <w:sz w:val="24"/>
          <w:szCs w:val="24"/>
        </w:rPr>
        <w:t>partial maqashid</w:t>
      </w:r>
      <w:r w:rsidR="00CD5483">
        <w:rPr>
          <w:rFonts w:ascii="Times New Roman" w:eastAsia="Times New Roman" w:hAnsi="Times New Roman" w:cs="Times New Roman"/>
          <w:bCs/>
          <w:sz w:val="24"/>
          <w:szCs w:val="24"/>
        </w:rPr>
        <w:t xml:space="preserve">, yang dimaksud dalam </w:t>
      </w:r>
      <w:r w:rsidR="00CD5483" w:rsidRPr="00691884">
        <w:rPr>
          <w:rFonts w:ascii="Times New Roman" w:eastAsia="Times New Roman" w:hAnsi="Times New Roman" w:cs="Times New Roman"/>
          <w:bCs/>
          <w:i/>
          <w:iCs/>
          <w:sz w:val="24"/>
          <w:szCs w:val="24"/>
        </w:rPr>
        <w:t>maqashid i</w:t>
      </w:r>
      <w:r w:rsidR="00CD5483">
        <w:rPr>
          <w:rFonts w:ascii="Times New Roman" w:eastAsia="Times New Roman" w:hAnsi="Times New Roman" w:cs="Times New Roman"/>
          <w:bCs/>
          <w:sz w:val="24"/>
          <w:szCs w:val="24"/>
        </w:rPr>
        <w:t xml:space="preserve">ni </w:t>
      </w:r>
      <w:r w:rsidR="006E3350">
        <w:rPr>
          <w:rFonts w:ascii="Times New Roman" w:eastAsia="Times New Roman" w:hAnsi="Times New Roman" w:cs="Times New Roman"/>
          <w:bCs/>
          <w:sz w:val="24"/>
          <w:szCs w:val="24"/>
        </w:rPr>
        <w:t>adalah upaya melihat secara lengkap dalam semua kasus, seperti halnya hendak mencari keadilan dalam mengawal kasus ke ranah hukum. Upaya ini sama dengan adanya kesulitan bagi orang sakit sehingga mend</w:t>
      </w:r>
      <w:r w:rsidR="00CB51AB">
        <w:rPr>
          <w:rFonts w:ascii="Times New Roman" w:eastAsia="Times New Roman" w:hAnsi="Times New Roman" w:cs="Times New Roman"/>
          <w:bCs/>
          <w:sz w:val="24"/>
          <w:szCs w:val="24"/>
        </w:rPr>
        <w:t>apat keringanan tidak berpuasa atau membatalkan puasa, berniat memberi makan orang miskin untuk menyelamatkan mereka dari kelaparan, atau melarang orang muslim menimbun daging kurban pada hari raya.</w:t>
      </w:r>
      <w:r w:rsidR="002605E1">
        <w:rPr>
          <w:rStyle w:val="FootnoteReference"/>
          <w:rFonts w:ascii="Times New Roman" w:eastAsia="Times New Roman" w:hAnsi="Times New Roman" w:cs="Times New Roman"/>
          <w:bCs/>
          <w:sz w:val="24"/>
          <w:szCs w:val="24"/>
        </w:rPr>
        <w:footnoteReference w:id="22"/>
      </w:r>
    </w:p>
    <w:p w:rsidR="00683004" w:rsidRPr="00746614" w:rsidRDefault="00742090" w:rsidP="006C0590">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44F5B">
        <w:rPr>
          <w:rFonts w:ascii="Times New Roman" w:eastAsia="Times New Roman" w:hAnsi="Times New Roman" w:cs="Times New Roman"/>
          <w:bCs/>
          <w:sz w:val="24"/>
          <w:szCs w:val="24"/>
        </w:rPr>
        <w:t xml:space="preserve">Pengembangan teori </w:t>
      </w:r>
      <w:r w:rsidR="00444F5B" w:rsidRPr="00691884">
        <w:rPr>
          <w:rFonts w:ascii="Times New Roman" w:eastAsia="Times New Roman" w:hAnsi="Times New Roman" w:cs="Times New Roman"/>
          <w:bCs/>
          <w:i/>
          <w:iCs/>
          <w:sz w:val="24"/>
          <w:szCs w:val="24"/>
        </w:rPr>
        <w:t xml:space="preserve">maqashid </w:t>
      </w:r>
      <w:r w:rsidR="00444F5B">
        <w:rPr>
          <w:rFonts w:ascii="Times New Roman" w:eastAsia="Times New Roman" w:hAnsi="Times New Roman" w:cs="Times New Roman"/>
          <w:bCs/>
          <w:sz w:val="24"/>
          <w:szCs w:val="24"/>
        </w:rPr>
        <w:t xml:space="preserve">yang digagas Auda ini juga merupakan tindak lanjut dari beberapa sarjana modern yang dianggap memberi peluang untuk dikembangkannya teori ini dalam rangka merespon isu-isu global. </w:t>
      </w:r>
      <w:r w:rsidR="00D10B26">
        <w:rPr>
          <w:rFonts w:ascii="Times New Roman" w:eastAsia="Times New Roman" w:hAnsi="Times New Roman" w:cs="Times New Roman"/>
          <w:bCs/>
          <w:sz w:val="24"/>
          <w:szCs w:val="24"/>
        </w:rPr>
        <w:t xml:space="preserve">Dia juga sebut beberapa nama yang </w:t>
      </w:r>
      <w:r w:rsidR="004E1377">
        <w:rPr>
          <w:rFonts w:ascii="Times New Roman" w:eastAsia="Times New Roman" w:hAnsi="Times New Roman" w:cs="Times New Roman"/>
          <w:bCs/>
          <w:sz w:val="24"/>
          <w:szCs w:val="24"/>
        </w:rPr>
        <w:t xml:space="preserve">ikut membuka pintu masuk dalam kajiannnya ini, seperti yang dilakukan oleh Ibnu Asyur </w:t>
      </w:r>
      <w:r w:rsidR="00506261">
        <w:rPr>
          <w:rFonts w:ascii="Times New Roman" w:eastAsia="Times New Roman" w:hAnsi="Times New Roman" w:cs="Times New Roman"/>
          <w:bCs/>
          <w:sz w:val="24"/>
          <w:szCs w:val="24"/>
        </w:rPr>
        <w:t xml:space="preserve">yang mengembangkan </w:t>
      </w:r>
      <w:r w:rsidR="00506261" w:rsidRPr="00691884">
        <w:rPr>
          <w:rFonts w:ascii="Times New Roman" w:eastAsia="Times New Roman" w:hAnsi="Times New Roman" w:cs="Times New Roman"/>
          <w:bCs/>
          <w:i/>
          <w:iCs/>
          <w:sz w:val="24"/>
          <w:szCs w:val="24"/>
        </w:rPr>
        <w:t>maqashid</w:t>
      </w:r>
      <w:r w:rsidR="00506261">
        <w:rPr>
          <w:rFonts w:ascii="Times New Roman" w:eastAsia="Times New Roman" w:hAnsi="Times New Roman" w:cs="Times New Roman"/>
          <w:bCs/>
          <w:sz w:val="24"/>
          <w:szCs w:val="24"/>
        </w:rPr>
        <w:t xml:space="preserve"> dalam porsi individual, bangsa, masyarakat yang kemudian ditegaskan bahwa </w:t>
      </w:r>
      <w:r w:rsidR="00506261" w:rsidRPr="00691884">
        <w:rPr>
          <w:rFonts w:ascii="Times New Roman" w:eastAsia="Times New Roman" w:hAnsi="Times New Roman" w:cs="Times New Roman"/>
          <w:bCs/>
          <w:i/>
          <w:iCs/>
          <w:sz w:val="24"/>
          <w:szCs w:val="24"/>
        </w:rPr>
        <w:t>maqashid</w:t>
      </w:r>
      <w:r w:rsidR="00506261">
        <w:rPr>
          <w:rFonts w:ascii="Times New Roman" w:eastAsia="Times New Roman" w:hAnsi="Times New Roman" w:cs="Times New Roman"/>
          <w:bCs/>
          <w:sz w:val="24"/>
          <w:szCs w:val="24"/>
        </w:rPr>
        <w:t xml:space="preserve"> untuk ummat itu jauh lebih diutamakan daripada untuk individu. Kemudian </w:t>
      </w:r>
      <w:r w:rsidR="00746614">
        <w:rPr>
          <w:rFonts w:ascii="Times New Roman" w:eastAsia="Times New Roman" w:hAnsi="Times New Roman" w:cs="Times New Roman"/>
          <w:bCs/>
          <w:sz w:val="24"/>
          <w:szCs w:val="24"/>
        </w:rPr>
        <w:t xml:space="preserve">ada nama Rashid Ridha yang dilihat juga mengembangkan </w:t>
      </w:r>
      <w:r w:rsidR="00746614" w:rsidRPr="00746614">
        <w:rPr>
          <w:rFonts w:ascii="Times New Roman" w:eastAsia="Times New Roman" w:hAnsi="Times New Roman" w:cs="Times New Roman"/>
          <w:bCs/>
          <w:i/>
          <w:iCs/>
          <w:sz w:val="24"/>
          <w:szCs w:val="24"/>
        </w:rPr>
        <w:t>maqashid</w:t>
      </w:r>
      <w:r w:rsidR="00746614">
        <w:rPr>
          <w:rFonts w:ascii="Times New Roman" w:eastAsia="Times New Roman" w:hAnsi="Times New Roman" w:cs="Times New Roman"/>
          <w:bCs/>
          <w:sz w:val="24"/>
          <w:szCs w:val="24"/>
        </w:rPr>
        <w:t xml:space="preserve"> </w:t>
      </w:r>
      <w:r w:rsidR="00C316D6">
        <w:rPr>
          <w:rFonts w:ascii="Times New Roman" w:eastAsia="Times New Roman" w:hAnsi="Times New Roman" w:cs="Times New Roman"/>
          <w:bCs/>
          <w:sz w:val="24"/>
          <w:szCs w:val="24"/>
        </w:rPr>
        <w:t>dengan memasukkan pembaharuan dan hak-hak perempuan.</w:t>
      </w:r>
      <w:r w:rsidR="009B7B2B">
        <w:rPr>
          <w:rFonts w:ascii="Times New Roman" w:eastAsia="Times New Roman" w:hAnsi="Times New Roman" w:cs="Times New Roman"/>
          <w:bCs/>
          <w:sz w:val="24"/>
          <w:szCs w:val="24"/>
        </w:rPr>
        <w:t xml:space="preserve"> </w:t>
      </w:r>
    </w:p>
    <w:p w:rsidR="00541B82" w:rsidRPr="00871D9F" w:rsidRDefault="00A65623" w:rsidP="007259C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33852">
        <w:rPr>
          <w:rFonts w:ascii="Times New Roman" w:eastAsia="Times New Roman" w:hAnsi="Times New Roman" w:cs="Times New Roman"/>
          <w:bCs/>
          <w:sz w:val="24"/>
          <w:szCs w:val="24"/>
        </w:rPr>
        <w:t xml:space="preserve">Pembaharuan dalam </w:t>
      </w:r>
      <w:r w:rsidR="00433852" w:rsidRPr="00691884">
        <w:rPr>
          <w:rFonts w:ascii="Times New Roman" w:eastAsia="Times New Roman" w:hAnsi="Times New Roman" w:cs="Times New Roman"/>
          <w:bCs/>
          <w:i/>
          <w:iCs/>
          <w:sz w:val="24"/>
          <w:szCs w:val="24"/>
        </w:rPr>
        <w:t>maqashid</w:t>
      </w:r>
      <w:r w:rsidR="00433852">
        <w:rPr>
          <w:rFonts w:ascii="Times New Roman" w:eastAsia="Times New Roman" w:hAnsi="Times New Roman" w:cs="Times New Roman"/>
          <w:bCs/>
          <w:sz w:val="24"/>
          <w:szCs w:val="24"/>
        </w:rPr>
        <w:t xml:space="preserve"> yang ditawarkan oleh Auda juga beroreintasi pada konteks holistik yang bisa diterapkan secara menyeluruh dengan memperhatikan unsur-unsur terkait. </w:t>
      </w:r>
      <w:r w:rsidR="005B1EE8">
        <w:rPr>
          <w:rFonts w:ascii="Times New Roman" w:eastAsia="Times New Roman" w:hAnsi="Times New Roman" w:cs="Times New Roman"/>
          <w:bCs/>
          <w:sz w:val="24"/>
          <w:szCs w:val="24"/>
        </w:rPr>
        <w:t>Oleh sebab itu langkah awal yang harus dimiliki dalam proses ijtihad adalah keterbukaan (</w:t>
      </w:r>
      <w:r w:rsidR="005B1EE8" w:rsidRPr="005B1EE8">
        <w:rPr>
          <w:rFonts w:ascii="Times New Roman" w:eastAsia="Times New Roman" w:hAnsi="Times New Roman" w:cs="Times New Roman"/>
          <w:bCs/>
          <w:i/>
          <w:iCs/>
          <w:sz w:val="24"/>
          <w:szCs w:val="24"/>
        </w:rPr>
        <w:t>openness</w:t>
      </w:r>
      <w:r w:rsidR="005B1EE8">
        <w:rPr>
          <w:rFonts w:ascii="Times New Roman" w:eastAsia="Times New Roman" w:hAnsi="Times New Roman" w:cs="Times New Roman"/>
          <w:bCs/>
          <w:sz w:val="24"/>
          <w:szCs w:val="24"/>
        </w:rPr>
        <w:t>) dalam memahami hukum Islam. Sebab perkembangan sains tida</w:t>
      </w:r>
      <w:r w:rsidR="00BB1B67">
        <w:rPr>
          <w:rFonts w:ascii="Times New Roman" w:eastAsia="Times New Roman" w:hAnsi="Times New Roman" w:cs="Times New Roman"/>
          <w:bCs/>
          <w:sz w:val="24"/>
          <w:szCs w:val="24"/>
        </w:rPr>
        <w:t>k bisa dihiraukan demikian saja sehingga bisa melihat interalasi bahkan multi dimensi dalam menerapkan hukum Islam.</w:t>
      </w:r>
      <w:r w:rsidR="00A85B4A">
        <w:rPr>
          <w:rStyle w:val="FootnoteReference"/>
          <w:rFonts w:ascii="Times New Roman" w:eastAsia="Times New Roman" w:hAnsi="Times New Roman" w:cs="Times New Roman"/>
          <w:bCs/>
          <w:sz w:val="24"/>
          <w:szCs w:val="24"/>
        </w:rPr>
        <w:footnoteReference w:id="23"/>
      </w:r>
      <w:r w:rsidR="00BB1B67">
        <w:rPr>
          <w:rFonts w:ascii="Times New Roman" w:eastAsia="Times New Roman" w:hAnsi="Times New Roman" w:cs="Times New Roman"/>
          <w:bCs/>
          <w:sz w:val="24"/>
          <w:szCs w:val="24"/>
        </w:rPr>
        <w:t xml:space="preserve"> </w:t>
      </w:r>
    </w:p>
    <w:p w:rsidR="00093A6D" w:rsidRDefault="00890F00" w:rsidP="00CB5B8C">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Teori </w:t>
      </w:r>
      <w:r w:rsidRPr="00890F00">
        <w:rPr>
          <w:rFonts w:ascii="Times New Roman" w:eastAsia="Times New Roman" w:hAnsi="Times New Roman" w:cs="Times New Roman"/>
          <w:bCs/>
          <w:i/>
          <w:iCs/>
          <w:sz w:val="24"/>
          <w:szCs w:val="24"/>
        </w:rPr>
        <w:t>maqashid</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xml:space="preserve">Jasser Auda ini selanjutnya akan penulis gunakan sebagai pisau analisis untuk memahami ayat-ayat pendidikan dalam Al-Qur’an dengan berpacu pada suatu gagasan konsep pendidikan yang telah lama diperbincangkan yaitu pendidikan holistik. </w:t>
      </w:r>
      <w:r w:rsidR="007D7615">
        <w:rPr>
          <w:rFonts w:ascii="Times New Roman" w:eastAsia="Times New Roman" w:hAnsi="Times New Roman" w:cs="Times New Roman"/>
          <w:bCs/>
          <w:sz w:val="24"/>
          <w:szCs w:val="24"/>
        </w:rPr>
        <w:t>Analisis ini untuk menjawab permasalahan sejauhmana pendidikan dalam Al-Qur’an dapat menjawab tantangan kekinian jika dipahami menggunakan teori ini.</w:t>
      </w:r>
    </w:p>
    <w:p w:rsidR="007D7615" w:rsidRDefault="007D7615" w:rsidP="00CB5B8C">
      <w:pPr>
        <w:ind w:firstLine="720"/>
        <w:jc w:val="both"/>
        <w:rPr>
          <w:rFonts w:ascii="Times New Roman" w:eastAsia="Times New Roman" w:hAnsi="Times New Roman" w:cs="Times New Roman"/>
          <w:bCs/>
          <w:sz w:val="24"/>
          <w:szCs w:val="24"/>
        </w:rPr>
      </w:pPr>
    </w:p>
    <w:p w:rsidR="007D7615" w:rsidRPr="00890F00" w:rsidRDefault="004E22B1" w:rsidP="00CB5B8C">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Analisis Ayat-ayat Pendidikan dengan Teori </w:t>
      </w:r>
      <w:r w:rsidRPr="004E22B1">
        <w:rPr>
          <w:rFonts w:ascii="Times New Roman" w:eastAsia="Times New Roman" w:hAnsi="Times New Roman" w:cs="Times New Roman"/>
          <w:bCs/>
          <w:i/>
          <w:iCs/>
          <w:sz w:val="24"/>
          <w:szCs w:val="24"/>
        </w:rPr>
        <w:t>Maqashid</w:t>
      </w:r>
      <w:r>
        <w:rPr>
          <w:rFonts w:ascii="Times New Roman" w:eastAsia="Times New Roman" w:hAnsi="Times New Roman" w:cs="Times New Roman"/>
          <w:bCs/>
          <w:sz w:val="24"/>
          <w:szCs w:val="24"/>
        </w:rPr>
        <w:t xml:space="preserve"> Jasser Auda</w:t>
      </w:r>
    </w:p>
    <w:p w:rsidR="005D6F69" w:rsidRDefault="005D6F69" w:rsidP="003A2A4F">
      <w:pPr>
        <w:spacing w:after="0" w:line="24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Ayat-ayat tentang pendidikan yang akan dianalisis dalam paper ini sebagaimana telah penulis sampaikan yaitu merujuk pada ayat-ayat yang mengandung atau menggunakan kata </w:t>
      </w:r>
      <w:r>
        <w:rPr>
          <w:rFonts w:ascii="Times New Roman" w:eastAsia="Times New Roman" w:hAnsi="Times New Roman" w:cs="Times New Roman"/>
          <w:bCs/>
          <w:i/>
          <w:iCs/>
          <w:sz w:val="24"/>
          <w:szCs w:val="24"/>
        </w:rPr>
        <w:t>ta’lim</w:t>
      </w:r>
      <w:r>
        <w:rPr>
          <w:rFonts w:ascii="Times New Roman" w:eastAsia="Times New Roman" w:hAnsi="Times New Roman" w:cs="Times New Roman"/>
          <w:bCs/>
          <w:sz w:val="24"/>
          <w:szCs w:val="24"/>
        </w:rPr>
        <w:t xml:space="preserve"> dan </w:t>
      </w:r>
      <w:r>
        <w:rPr>
          <w:rFonts w:ascii="Times New Roman" w:eastAsia="Times New Roman" w:hAnsi="Times New Roman" w:cs="Times New Roman"/>
          <w:bCs/>
          <w:i/>
          <w:iCs/>
          <w:sz w:val="24"/>
          <w:szCs w:val="24"/>
        </w:rPr>
        <w:t>tarbiyyah</w:t>
      </w:r>
      <w:r>
        <w:rPr>
          <w:rFonts w:ascii="Times New Roman" w:eastAsia="Times New Roman" w:hAnsi="Times New Roman" w:cs="Times New Roman"/>
          <w:bCs/>
          <w:sz w:val="24"/>
          <w:szCs w:val="24"/>
        </w:rPr>
        <w:t xml:space="preserve">. Hal ini disebabkan dua kata ini sering dirujuk dan digunakan oleh para pakar pendidikan, khususnya pendidikan Islam untuk memahami makna pendidikan menurut Islam. Di antaranya terdapat kata </w:t>
      </w:r>
      <w:r w:rsidRPr="005D6F69">
        <w:rPr>
          <w:rFonts w:ascii="Times New Roman" w:eastAsia="Times New Roman" w:hAnsi="Times New Roman" w:cs="Times New Roman"/>
          <w:bCs/>
          <w:i/>
          <w:iCs/>
          <w:sz w:val="24"/>
          <w:szCs w:val="24"/>
        </w:rPr>
        <w:t>ta’lim</w:t>
      </w:r>
      <w:r>
        <w:rPr>
          <w:rFonts w:ascii="Times New Roman" w:eastAsia="Times New Roman" w:hAnsi="Times New Roman" w:cs="Times New Roman"/>
          <w:bCs/>
          <w:sz w:val="24"/>
          <w:szCs w:val="24"/>
        </w:rPr>
        <w:t xml:space="preserve"> yang termuat dalam surah al-Baqarah ayat 31, tentang perintah Allah kepada Adam agar memperkenalkan nama-nama kepada para malaikat.</w:t>
      </w:r>
    </w:p>
    <w:p w:rsidR="005D6F69" w:rsidRDefault="005D6F69" w:rsidP="00CF7574">
      <w:pPr>
        <w:spacing w:after="0" w:line="24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Menurut mufasir Indonesia, buya Hamka mengatakan bahwa pengertian </w:t>
      </w:r>
      <w:r>
        <w:rPr>
          <w:rFonts w:ascii="Times New Roman" w:eastAsia="Times New Roman" w:hAnsi="Times New Roman" w:cs="Times New Roman"/>
          <w:bCs/>
          <w:i/>
          <w:iCs/>
          <w:sz w:val="24"/>
          <w:szCs w:val="24"/>
        </w:rPr>
        <w:t>ta’lim</w:t>
      </w:r>
      <w:r>
        <w:rPr>
          <w:rFonts w:ascii="Times New Roman" w:eastAsia="Times New Roman" w:hAnsi="Times New Roman" w:cs="Times New Roman"/>
          <w:bCs/>
          <w:sz w:val="24"/>
          <w:szCs w:val="24"/>
        </w:rPr>
        <w:t xml:space="preserve"> pada ayat ini mengandung makna bahwa pendidikan merupakan proses pentransferan seperangkat pengetahuan yang dianugerahkan Allah kepada manusia (Adam). Dengan kekuatan yang dimilikinya, baik kekuatan panca indera maupun akal, manusia dituntut untuk menguasai materi </w:t>
      </w:r>
      <w:r>
        <w:rPr>
          <w:rFonts w:ascii="Times New Roman" w:eastAsia="Times New Roman" w:hAnsi="Times New Roman" w:cs="Times New Roman"/>
          <w:bCs/>
          <w:sz w:val="24"/>
          <w:szCs w:val="24"/>
        </w:rPr>
        <w:lastRenderedPageBreak/>
        <w:t>yang ditransfer.</w:t>
      </w:r>
      <w:r>
        <w:rPr>
          <w:rStyle w:val="FootnoteReference"/>
          <w:rFonts w:ascii="Times New Roman" w:eastAsia="Times New Roman" w:hAnsi="Times New Roman" w:cs="Times New Roman"/>
          <w:bCs/>
          <w:sz w:val="24"/>
          <w:szCs w:val="24"/>
        </w:rPr>
        <w:footnoteReference w:id="24"/>
      </w:r>
      <w:r>
        <w:rPr>
          <w:rFonts w:ascii="Times New Roman" w:eastAsia="Times New Roman" w:hAnsi="Times New Roman" w:cs="Times New Roman"/>
          <w:bCs/>
          <w:sz w:val="24"/>
          <w:szCs w:val="24"/>
        </w:rPr>
        <w:t xml:space="preserve"> </w:t>
      </w:r>
      <w:r w:rsidR="00B82288">
        <w:rPr>
          <w:rFonts w:ascii="Times New Roman" w:eastAsia="Times New Roman" w:hAnsi="Times New Roman" w:cs="Times New Roman"/>
          <w:bCs/>
          <w:sz w:val="24"/>
          <w:szCs w:val="24"/>
        </w:rPr>
        <w:t xml:space="preserve">Penafsiran tersebut tidak jauh berbeda dengan yang pernah dilakukan oleh </w:t>
      </w:r>
      <w:r>
        <w:rPr>
          <w:rFonts w:ascii="Times New Roman" w:eastAsia="Times New Roman" w:hAnsi="Times New Roman" w:cs="Times New Roman"/>
          <w:bCs/>
          <w:sz w:val="24"/>
          <w:szCs w:val="24"/>
        </w:rPr>
        <w:t xml:space="preserve">Muhammad   Rasyid   Ridho tentang </w:t>
      </w:r>
      <w:r>
        <w:rPr>
          <w:rFonts w:ascii="Times New Roman" w:eastAsia="Times New Roman" w:hAnsi="Times New Roman" w:cs="Times New Roman"/>
          <w:bCs/>
          <w:i/>
          <w:iCs/>
          <w:sz w:val="24"/>
          <w:szCs w:val="24"/>
        </w:rPr>
        <w:t>ta’lim</w:t>
      </w:r>
      <w:r>
        <w:rPr>
          <w:rFonts w:ascii="Times New Roman" w:eastAsia="Times New Roman" w:hAnsi="Times New Roman" w:cs="Times New Roman"/>
          <w:bCs/>
          <w:sz w:val="24"/>
          <w:szCs w:val="24"/>
        </w:rPr>
        <w:t xml:space="preserve">. Ridha   mengartikan </w:t>
      </w:r>
      <w:r>
        <w:rPr>
          <w:rFonts w:ascii="Times New Roman" w:eastAsia="Times New Roman" w:hAnsi="Times New Roman" w:cs="Times New Roman"/>
          <w:bCs/>
          <w:i/>
          <w:iCs/>
          <w:sz w:val="24"/>
          <w:szCs w:val="24"/>
        </w:rPr>
        <w:t>ta’lim</w:t>
      </w:r>
      <w:r>
        <w:rPr>
          <w:rFonts w:ascii="Times New Roman" w:eastAsia="Times New Roman" w:hAnsi="Times New Roman" w:cs="Times New Roman"/>
          <w:bCs/>
          <w:sz w:val="24"/>
          <w:szCs w:val="24"/>
        </w:rPr>
        <w:t xml:space="preserve">   dengan   proses transmisi  berbagai  ilmu  pengetahuan  pada  jiwa  individu  tanpa  adanya batasan  dan  ketentuan  tertentu.</w:t>
      </w:r>
      <w:r w:rsidR="00CF7574">
        <w:rPr>
          <w:rStyle w:val="FootnoteReference"/>
          <w:rFonts w:ascii="Times New Roman" w:eastAsia="Times New Roman" w:hAnsi="Times New Roman" w:cs="Times New Roman"/>
          <w:bCs/>
          <w:sz w:val="24"/>
          <w:szCs w:val="24"/>
        </w:rPr>
        <w:footnoteReference w:id="25"/>
      </w:r>
      <w:r>
        <w:rPr>
          <w:rFonts w:ascii="Times New Roman" w:eastAsia="Times New Roman" w:hAnsi="Times New Roman" w:cs="Times New Roman"/>
          <w:bCs/>
          <w:sz w:val="24"/>
          <w:szCs w:val="24"/>
        </w:rPr>
        <w:t xml:space="preserve"> Ini juga senada dengan definisi umum tentang kata </w:t>
      </w:r>
      <w:r>
        <w:rPr>
          <w:rFonts w:ascii="Times New Roman" w:eastAsia="Times New Roman" w:hAnsi="Times New Roman" w:cs="Times New Roman"/>
          <w:bCs/>
          <w:i/>
          <w:iCs/>
          <w:sz w:val="24"/>
          <w:szCs w:val="24"/>
        </w:rPr>
        <w:t xml:space="preserve">ta’lim </w:t>
      </w:r>
      <w:r>
        <w:rPr>
          <w:rFonts w:ascii="Times New Roman" w:eastAsia="Times New Roman" w:hAnsi="Times New Roman" w:cs="Times New Roman"/>
          <w:bCs/>
          <w:sz w:val="24"/>
          <w:szCs w:val="24"/>
        </w:rPr>
        <w:t xml:space="preserve"> itu sendiri, yang bermuara para orientasi perubahan. Sebagaimana disampaikan dalam teks berikut:</w:t>
      </w:r>
    </w:p>
    <w:p w:rsidR="005D6F69" w:rsidRPr="00DA163A" w:rsidRDefault="005D6F69" w:rsidP="005D6F69">
      <w:pPr>
        <w:pStyle w:val="ListParagraph"/>
        <w:tabs>
          <w:tab w:val="right" w:leader="dot" w:pos="7088"/>
          <w:tab w:val="right" w:leader="dot" w:pos="8222"/>
        </w:tabs>
        <w:bidi/>
        <w:spacing w:after="120" w:line="240" w:lineRule="auto"/>
        <w:ind w:left="0" w:firstLineChars="67" w:firstLine="214"/>
        <w:jc w:val="both"/>
        <w:rPr>
          <w:rFonts w:ascii="Traditional Arabic" w:hAnsi="Traditional Arabic" w:cs="Traditional Arabic"/>
          <w:sz w:val="32"/>
          <w:szCs w:val="32"/>
        </w:rPr>
      </w:pPr>
      <w:r w:rsidRPr="00DA163A">
        <w:rPr>
          <w:rFonts w:ascii="Traditional Arabic" w:hAnsi="Traditional Arabic" w:cs="Traditional Arabic"/>
          <w:sz w:val="32"/>
          <w:szCs w:val="32"/>
          <w:rtl/>
        </w:rPr>
        <w:t>أَنَّ التَّعْلِيْمَ هُوَ تَغْيِيرُ فِي ذِهْنِ الْمُتَعَلِّمِ يَطْرَأُ عَلىَ خِبْرَةٍسَابِقَةٍ فَيُحْدَثُ فِيْهَا تَغْيِيْرًا جَدِيْداً</w:t>
      </w:r>
    </w:p>
    <w:p w:rsidR="005D6F69" w:rsidRDefault="005D6F69" w:rsidP="00CF7574">
      <w:pPr>
        <w:tabs>
          <w:tab w:val="left" w:pos="567"/>
          <w:tab w:val="right" w:leader="dot" w:pos="7088"/>
          <w:tab w:val="right" w:leader="dot" w:pos="8222"/>
        </w:tabs>
        <w:spacing w:after="120" w:line="240" w:lineRule="auto"/>
        <w:jc w:val="both"/>
        <w:rPr>
          <w:rFonts w:ascii="Times New Roman" w:eastAsia="Times New Roman" w:hAnsi="Times New Roman" w:cs="Times New Roman"/>
          <w:bCs/>
          <w:sz w:val="24"/>
          <w:szCs w:val="24"/>
        </w:rPr>
      </w:pPr>
      <w:r>
        <w:rPr>
          <w:rFonts w:ascii="Times New Roman" w:hAnsi="Times New Roman" w:cs="Times New Roman"/>
          <w:i/>
          <w:iCs/>
          <w:sz w:val="24"/>
          <w:szCs w:val="24"/>
        </w:rPr>
        <w:t>“Ta’lim adalah perubahan seketika dalam hati seorang yang belajar berdasarkan pengetahuan yang sudah dimiliki menuju perubahann baru,”</w:t>
      </w:r>
    </w:p>
    <w:p w:rsidR="005D6F69" w:rsidRDefault="005D6F69" w:rsidP="005D6F69">
      <w:pPr>
        <w:spacing w:after="0" w:line="240" w:lineRule="auto"/>
        <w:contextualSpacing/>
        <w:jc w:val="both"/>
        <w:rPr>
          <w:rFonts w:ascii="Times New Roman" w:eastAsia="Times New Roman" w:hAnsi="Times New Roman" w:cs="Times New Roman"/>
          <w:bCs/>
          <w:sz w:val="24"/>
          <w:szCs w:val="24"/>
        </w:rPr>
      </w:pPr>
    </w:p>
    <w:p w:rsidR="005D6F69" w:rsidRDefault="005D6F69" w:rsidP="00CF7574">
      <w:pPr>
        <w:spacing w:after="0" w:line="24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Dengan demikian, </w:t>
      </w:r>
      <w:r>
        <w:rPr>
          <w:rFonts w:ascii="Times New Roman" w:eastAsia="Times New Roman" w:hAnsi="Times New Roman" w:cs="Times New Roman"/>
          <w:bCs/>
          <w:i/>
          <w:iCs/>
          <w:sz w:val="24"/>
          <w:szCs w:val="24"/>
        </w:rPr>
        <w:t>ta’lim</w:t>
      </w:r>
      <w:r>
        <w:rPr>
          <w:rFonts w:ascii="Times New Roman" w:eastAsia="Times New Roman" w:hAnsi="Times New Roman" w:cs="Times New Roman"/>
          <w:bCs/>
          <w:sz w:val="24"/>
          <w:szCs w:val="24"/>
        </w:rPr>
        <w:t xml:space="preserve"> sebagai kekuatan tersebut berkembang secara bertahap dari yang sederhana ke arah yang lebih baik. Dengan kekuatan ini pula manusia dapat melaksanakan fungsinya sebagai pemegang amanah Allah, sekaligus pembongkar rahasia alam bagi kemaslahatan seluruh alam semesta. Al-Qur’an juga mengungkap kekuatan ini sebagai suatu keistimenwaan yang menjadikan manusia unggul terhadap makhluk-makhluk lain guna menjalankan fungsi kekhalifahan.</w:t>
      </w:r>
    </w:p>
    <w:p w:rsidR="005D6F69" w:rsidRDefault="00716712" w:rsidP="000878CF">
      <w:pPr>
        <w:spacing w:after="0" w:line="24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Pandangan demikian oleh Abduh</w:t>
      </w:r>
      <w:r w:rsidR="005D6F69">
        <w:rPr>
          <w:rFonts w:ascii="Times New Roman" w:eastAsia="Times New Roman" w:hAnsi="Times New Roman" w:cs="Times New Roman"/>
          <w:bCs/>
          <w:sz w:val="24"/>
          <w:szCs w:val="24"/>
        </w:rPr>
        <w:t xml:space="preserve"> diperkuat dengan merujuk pada ayat </w:t>
      </w:r>
      <w:r w:rsidR="00B82288">
        <w:rPr>
          <w:rFonts w:ascii="Times New Roman" w:eastAsia="Times New Roman" w:hAnsi="Times New Roman" w:cs="Times New Roman"/>
          <w:bCs/>
          <w:sz w:val="24"/>
          <w:szCs w:val="24"/>
        </w:rPr>
        <w:t xml:space="preserve">lain yakni QS. Yunus ayat 5. </w:t>
      </w:r>
      <w:r w:rsidR="002563DD">
        <w:rPr>
          <w:rFonts w:ascii="Times New Roman" w:eastAsia="Times New Roman" w:hAnsi="Times New Roman" w:cs="Times New Roman"/>
          <w:bCs/>
          <w:sz w:val="24"/>
          <w:szCs w:val="24"/>
        </w:rPr>
        <w:t xml:space="preserve">Ayat tersebut secara tekstual mengajari manusia untuk melihat komponen-komponen fisika maupun metafisika yang ada di alam raya. Dengan demikian manusia diharapkan dengan segala potensinya tersebut mampu </w:t>
      </w:r>
      <w:r w:rsidR="000878CF">
        <w:rPr>
          <w:rFonts w:ascii="Times New Roman" w:eastAsia="Times New Roman" w:hAnsi="Times New Roman" w:cs="Times New Roman"/>
          <w:bCs/>
          <w:sz w:val="24"/>
          <w:szCs w:val="24"/>
        </w:rPr>
        <w:t>mengenal lebih jauh alam semesta raya ini dengan baik. Sebab pada ayat tersebut Allah menjelaskan bagaimana seluruh makhluk yang ada dalam tata surya berjalan menurut ketentuan yang telah ditetapkan-Nya yang semuanya ini merupakan panduan kepada manusia untuk melakukan serangkaian riset guna menyingkap rahasia Allah. Karena dengan ilmu yang diajarkan Allah kepada manusia, Allah menginginkan supaya manusia membuka berbagai rahasia dan perbendaharaan-Nya untuk bisa menjalani tugas kekhalifahan di muka bumi.</w:t>
      </w:r>
    </w:p>
    <w:p w:rsidR="000322EE" w:rsidRDefault="000322EE" w:rsidP="00BC7199">
      <w:pPr>
        <w:spacing w:after="0" w:line="24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Pemahaman kata </w:t>
      </w:r>
      <w:r w:rsidRPr="0083602B">
        <w:rPr>
          <w:rFonts w:ascii="Times New Roman" w:eastAsia="Times New Roman" w:hAnsi="Times New Roman" w:cs="Times New Roman"/>
          <w:bCs/>
          <w:i/>
          <w:iCs/>
          <w:sz w:val="24"/>
          <w:szCs w:val="24"/>
        </w:rPr>
        <w:t>ta’lim</w:t>
      </w:r>
      <w:r>
        <w:rPr>
          <w:rFonts w:ascii="Times New Roman" w:eastAsia="Times New Roman" w:hAnsi="Times New Roman" w:cs="Times New Roman"/>
          <w:bCs/>
          <w:sz w:val="24"/>
          <w:szCs w:val="24"/>
        </w:rPr>
        <w:t xml:space="preserve"> dalam konteks riset ini juga didukung oleh al-Maraghi </w:t>
      </w:r>
      <w:r w:rsidR="0083602B">
        <w:rPr>
          <w:rFonts w:ascii="Times New Roman" w:eastAsia="Times New Roman" w:hAnsi="Times New Roman" w:cs="Times New Roman"/>
          <w:bCs/>
          <w:sz w:val="24"/>
          <w:szCs w:val="24"/>
        </w:rPr>
        <w:t>(</w:t>
      </w:r>
      <w:r w:rsidR="00BC7199">
        <w:rPr>
          <w:rFonts w:ascii="Times New Roman" w:eastAsia="Times New Roman" w:hAnsi="Times New Roman" w:cs="Times New Roman"/>
          <w:bCs/>
          <w:sz w:val="24"/>
          <w:szCs w:val="24"/>
        </w:rPr>
        <w:t>1883-1952)</w:t>
      </w:r>
      <w:bookmarkStart w:id="0" w:name="_GoBack"/>
      <w:bookmarkEnd w:id="0"/>
      <w:r w:rsidR="003A2A4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sebagai seorang mufasir asal Mesir </w:t>
      </w:r>
      <w:r w:rsidR="000E1515">
        <w:rPr>
          <w:rFonts w:ascii="Times New Roman" w:eastAsia="Times New Roman" w:hAnsi="Times New Roman" w:cs="Times New Roman"/>
          <w:bCs/>
          <w:sz w:val="24"/>
          <w:szCs w:val="24"/>
        </w:rPr>
        <w:t xml:space="preserve">era </w:t>
      </w:r>
      <w:r>
        <w:rPr>
          <w:rFonts w:ascii="Times New Roman" w:eastAsia="Times New Roman" w:hAnsi="Times New Roman" w:cs="Times New Roman"/>
          <w:bCs/>
          <w:sz w:val="24"/>
          <w:szCs w:val="24"/>
        </w:rPr>
        <w:t xml:space="preserve">abad modern. Dalam tafsirnya, ia menuliskan bahwa </w:t>
      </w:r>
      <w:r w:rsidRPr="000322EE">
        <w:rPr>
          <w:rFonts w:ascii="Times New Roman" w:eastAsia="Times New Roman" w:hAnsi="Times New Roman" w:cs="Times New Roman"/>
          <w:bCs/>
          <w:sz w:val="24"/>
          <w:szCs w:val="24"/>
        </w:rPr>
        <w:t>ayat ini juga menjadi petunjuk bagi manusia untuk mempertimbangkan segala hal yang berkaitan dengan tempat kembali (hari kiamat) berdasarkan keterangan yang diberikan para Rasu</w:t>
      </w:r>
      <w:r>
        <w:rPr>
          <w:rFonts w:ascii="Times New Roman" w:eastAsia="Times New Roman" w:hAnsi="Times New Roman" w:cs="Times New Roman"/>
          <w:bCs/>
          <w:sz w:val="24"/>
          <w:szCs w:val="24"/>
        </w:rPr>
        <w:t>l dan Al-Qur’an. Al-Maragi juga memberikan analogi bahwa ayat tersebut memberi keterangan untuk melakukan manajemen atas</w:t>
      </w:r>
      <w:r w:rsidRPr="000322EE">
        <w:rPr>
          <w:rFonts w:ascii="Times New Roman" w:eastAsia="Times New Roman" w:hAnsi="Times New Roman" w:cs="Times New Roman"/>
          <w:bCs/>
          <w:sz w:val="24"/>
          <w:szCs w:val="24"/>
        </w:rPr>
        <w:t xml:space="preserve"> pentingnya mengatur waktu seseorang secara efektif sehingga seseorang dapat</w:t>
      </w:r>
      <w:r>
        <w:rPr>
          <w:rFonts w:ascii="Times New Roman" w:eastAsia="Times New Roman" w:hAnsi="Times New Roman" w:cs="Times New Roman"/>
          <w:bCs/>
          <w:sz w:val="24"/>
          <w:szCs w:val="24"/>
        </w:rPr>
        <w:t xml:space="preserve"> mengembangkan potensi yang berkontribusi untuk agama maupun dunia</w:t>
      </w:r>
      <w:r w:rsidRPr="000322EE">
        <w:rPr>
          <w:rFonts w:ascii="Times New Roman" w:eastAsia="Times New Roman" w:hAnsi="Times New Roman" w:cs="Times New Roman"/>
          <w:bCs/>
          <w:sz w:val="24"/>
          <w:szCs w:val="24"/>
        </w:rPr>
        <w:t xml:space="preserve">. </w:t>
      </w:r>
      <w:r w:rsidR="00117984">
        <w:rPr>
          <w:rFonts w:ascii="Times New Roman" w:eastAsia="Times New Roman" w:hAnsi="Times New Roman" w:cs="Times New Roman"/>
          <w:bCs/>
          <w:sz w:val="24"/>
          <w:szCs w:val="24"/>
        </w:rPr>
        <w:t>S</w:t>
      </w:r>
      <w:r w:rsidRPr="000322EE">
        <w:rPr>
          <w:rFonts w:ascii="Times New Roman" w:eastAsia="Times New Roman" w:hAnsi="Times New Roman" w:cs="Times New Roman"/>
          <w:bCs/>
          <w:sz w:val="24"/>
          <w:szCs w:val="24"/>
        </w:rPr>
        <w:t xml:space="preserve">ehingga </w:t>
      </w:r>
      <w:r w:rsidR="00117984" w:rsidRPr="00117984">
        <w:rPr>
          <w:rFonts w:ascii="Times New Roman" w:eastAsia="Times New Roman" w:hAnsi="Times New Roman" w:cs="Times New Roman"/>
          <w:bCs/>
          <w:i/>
          <w:iCs/>
          <w:sz w:val="24"/>
          <w:szCs w:val="24"/>
        </w:rPr>
        <w:t>output</w:t>
      </w:r>
      <w:r w:rsidR="00117984">
        <w:rPr>
          <w:rFonts w:ascii="Times New Roman" w:eastAsia="Times New Roman" w:hAnsi="Times New Roman" w:cs="Times New Roman"/>
          <w:bCs/>
          <w:i/>
          <w:iCs/>
          <w:sz w:val="24"/>
          <w:szCs w:val="24"/>
        </w:rPr>
        <w:t>-</w:t>
      </w:r>
      <w:r w:rsidR="00117984">
        <w:rPr>
          <w:rFonts w:ascii="Times New Roman" w:eastAsia="Times New Roman" w:hAnsi="Times New Roman" w:cs="Times New Roman"/>
          <w:bCs/>
          <w:sz w:val="24"/>
          <w:szCs w:val="24"/>
        </w:rPr>
        <w:t>nya lahir generasi-generasi yang memiliki kompetensi mengelola amanah</w:t>
      </w:r>
      <w:r w:rsidRPr="000322EE">
        <w:rPr>
          <w:rFonts w:ascii="Times New Roman" w:eastAsia="Times New Roman" w:hAnsi="Times New Roman" w:cs="Times New Roman"/>
          <w:bCs/>
          <w:sz w:val="24"/>
          <w:szCs w:val="24"/>
        </w:rPr>
        <w:t xml:space="preserve"> </w:t>
      </w:r>
      <w:r w:rsidR="00117984">
        <w:rPr>
          <w:rFonts w:ascii="Times New Roman" w:eastAsia="Times New Roman" w:hAnsi="Times New Roman" w:cs="Times New Roman"/>
          <w:bCs/>
          <w:sz w:val="24"/>
          <w:szCs w:val="24"/>
        </w:rPr>
        <w:t>memakmurkan</w:t>
      </w:r>
      <w:r w:rsidRPr="000322EE">
        <w:rPr>
          <w:rFonts w:ascii="Times New Roman" w:eastAsia="Times New Roman" w:hAnsi="Times New Roman" w:cs="Times New Roman"/>
          <w:bCs/>
          <w:sz w:val="24"/>
          <w:szCs w:val="24"/>
        </w:rPr>
        <w:t xml:space="preserve"> bumi.</w:t>
      </w:r>
      <w:r w:rsidR="00F25E83">
        <w:rPr>
          <w:rStyle w:val="FootnoteReference"/>
          <w:rFonts w:ascii="Times New Roman" w:eastAsia="Times New Roman" w:hAnsi="Times New Roman" w:cs="Times New Roman"/>
          <w:bCs/>
          <w:sz w:val="24"/>
          <w:szCs w:val="24"/>
        </w:rPr>
        <w:footnoteReference w:id="26"/>
      </w:r>
    </w:p>
    <w:p w:rsidR="007B4494" w:rsidRDefault="000E1515" w:rsidP="00117984">
      <w:pPr>
        <w:spacing w:after="0" w:line="24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Pendapat para mufasir di atas setidaknya sudah melibatkan </w:t>
      </w:r>
      <w:r w:rsidRPr="000E1515">
        <w:rPr>
          <w:rFonts w:ascii="Times New Roman" w:eastAsia="Times New Roman" w:hAnsi="Times New Roman" w:cs="Times New Roman"/>
          <w:bCs/>
          <w:i/>
          <w:iCs/>
          <w:sz w:val="24"/>
          <w:szCs w:val="24"/>
        </w:rPr>
        <w:t>partial maqashid</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xml:space="preserve">dalam memahami salah satu ayat yang memberikan informasi tentang pendidikan melalui kata </w:t>
      </w:r>
      <w:r w:rsidRPr="0083602B">
        <w:rPr>
          <w:rFonts w:ascii="Times New Roman" w:eastAsia="Times New Roman" w:hAnsi="Times New Roman" w:cs="Times New Roman"/>
          <w:bCs/>
          <w:i/>
          <w:iCs/>
          <w:sz w:val="24"/>
          <w:szCs w:val="24"/>
        </w:rPr>
        <w:t>ta’lim,</w:t>
      </w:r>
      <w:r>
        <w:rPr>
          <w:rFonts w:ascii="Times New Roman" w:eastAsia="Times New Roman" w:hAnsi="Times New Roman" w:cs="Times New Roman"/>
          <w:bCs/>
          <w:sz w:val="24"/>
          <w:szCs w:val="24"/>
        </w:rPr>
        <w:t xml:space="preserve"> dengan melibatkan pada pontensi spiritual maupun kognitif. Meskipun dari semua mufasir yang penulis lacak tidak secara rinci memberikan penjelasan pada klasifikasi tertentu, seolah hendak menunjukkan bahwa pendidikan yang disampaikan melalui kata </w:t>
      </w:r>
      <w:r w:rsidRPr="0083602B">
        <w:rPr>
          <w:rFonts w:ascii="Times New Roman" w:eastAsia="Times New Roman" w:hAnsi="Times New Roman" w:cs="Times New Roman"/>
          <w:bCs/>
          <w:i/>
          <w:iCs/>
          <w:sz w:val="24"/>
          <w:szCs w:val="24"/>
        </w:rPr>
        <w:t>ta’lim</w:t>
      </w:r>
      <w:r>
        <w:rPr>
          <w:rFonts w:ascii="Times New Roman" w:eastAsia="Times New Roman" w:hAnsi="Times New Roman" w:cs="Times New Roman"/>
          <w:bCs/>
          <w:sz w:val="24"/>
          <w:szCs w:val="24"/>
        </w:rPr>
        <w:t xml:space="preserve"> tersebut memiliki cakupan yang luas. </w:t>
      </w:r>
      <w:r w:rsidR="007B4494">
        <w:rPr>
          <w:rFonts w:ascii="Times New Roman" w:eastAsia="Times New Roman" w:hAnsi="Times New Roman" w:cs="Times New Roman"/>
          <w:bCs/>
          <w:sz w:val="24"/>
          <w:szCs w:val="24"/>
        </w:rPr>
        <w:t>Oleh sebab itu tidak lagi membicara</w:t>
      </w:r>
      <w:r w:rsidR="00716712">
        <w:rPr>
          <w:rFonts w:ascii="Times New Roman" w:eastAsia="Times New Roman" w:hAnsi="Times New Roman" w:cs="Times New Roman"/>
          <w:bCs/>
          <w:sz w:val="24"/>
          <w:szCs w:val="24"/>
        </w:rPr>
        <w:t xml:space="preserve">kan </w:t>
      </w:r>
      <w:r w:rsidR="00716712" w:rsidRPr="00716712">
        <w:rPr>
          <w:rFonts w:ascii="Times New Roman" w:eastAsia="Times New Roman" w:hAnsi="Times New Roman" w:cs="Times New Roman"/>
          <w:bCs/>
          <w:i/>
          <w:iCs/>
          <w:sz w:val="24"/>
          <w:szCs w:val="24"/>
        </w:rPr>
        <w:t>sc</w:t>
      </w:r>
      <w:r w:rsidR="007B4494" w:rsidRPr="00716712">
        <w:rPr>
          <w:rFonts w:ascii="Times New Roman" w:eastAsia="Times New Roman" w:hAnsi="Times New Roman" w:cs="Times New Roman"/>
          <w:bCs/>
          <w:i/>
          <w:iCs/>
          <w:sz w:val="24"/>
          <w:szCs w:val="24"/>
        </w:rPr>
        <w:t>op</w:t>
      </w:r>
      <w:r w:rsidR="00716712" w:rsidRPr="00716712">
        <w:rPr>
          <w:rFonts w:ascii="Times New Roman" w:eastAsia="Times New Roman" w:hAnsi="Times New Roman" w:cs="Times New Roman"/>
          <w:bCs/>
          <w:i/>
          <w:iCs/>
          <w:sz w:val="24"/>
          <w:szCs w:val="24"/>
        </w:rPr>
        <w:t>e</w:t>
      </w:r>
      <w:r w:rsidR="00716712">
        <w:rPr>
          <w:rFonts w:ascii="Times New Roman" w:eastAsia="Times New Roman" w:hAnsi="Times New Roman" w:cs="Times New Roman"/>
          <w:bCs/>
          <w:sz w:val="24"/>
          <w:szCs w:val="24"/>
        </w:rPr>
        <w:t>-</w:t>
      </w:r>
      <w:r w:rsidR="00716712" w:rsidRPr="00716712">
        <w:rPr>
          <w:rFonts w:ascii="Times New Roman" w:eastAsia="Times New Roman" w:hAnsi="Times New Roman" w:cs="Times New Roman"/>
          <w:bCs/>
          <w:i/>
          <w:iCs/>
          <w:sz w:val="24"/>
          <w:szCs w:val="24"/>
        </w:rPr>
        <w:t>sc</w:t>
      </w:r>
      <w:r w:rsidR="007B4494" w:rsidRPr="00716712">
        <w:rPr>
          <w:rFonts w:ascii="Times New Roman" w:eastAsia="Times New Roman" w:hAnsi="Times New Roman" w:cs="Times New Roman"/>
          <w:bCs/>
          <w:i/>
          <w:iCs/>
          <w:sz w:val="24"/>
          <w:szCs w:val="24"/>
        </w:rPr>
        <w:t>op</w:t>
      </w:r>
      <w:r w:rsidR="00716712" w:rsidRPr="00716712">
        <w:rPr>
          <w:rFonts w:ascii="Times New Roman" w:eastAsia="Times New Roman" w:hAnsi="Times New Roman" w:cs="Times New Roman"/>
          <w:bCs/>
          <w:i/>
          <w:iCs/>
          <w:sz w:val="24"/>
          <w:szCs w:val="24"/>
        </w:rPr>
        <w:t>e</w:t>
      </w:r>
      <w:r w:rsidR="007B4494">
        <w:rPr>
          <w:rFonts w:ascii="Times New Roman" w:eastAsia="Times New Roman" w:hAnsi="Times New Roman" w:cs="Times New Roman"/>
          <w:bCs/>
          <w:sz w:val="24"/>
          <w:szCs w:val="24"/>
        </w:rPr>
        <w:t xml:space="preserve"> tertentu yang harus </w:t>
      </w:r>
      <w:r w:rsidR="007B4494">
        <w:rPr>
          <w:rFonts w:ascii="Times New Roman" w:eastAsia="Times New Roman" w:hAnsi="Times New Roman" w:cs="Times New Roman"/>
          <w:bCs/>
          <w:sz w:val="24"/>
          <w:szCs w:val="24"/>
        </w:rPr>
        <w:lastRenderedPageBreak/>
        <w:t xml:space="preserve">dikembangkan, </w:t>
      </w:r>
      <w:r w:rsidR="00716712">
        <w:rPr>
          <w:rFonts w:ascii="Times New Roman" w:eastAsia="Times New Roman" w:hAnsi="Times New Roman" w:cs="Times New Roman"/>
          <w:bCs/>
          <w:sz w:val="24"/>
          <w:szCs w:val="24"/>
        </w:rPr>
        <w:t xml:space="preserve">melainkan semua </w:t>
      </w:r>
      <w:r w:rsidR="00716712" w:rsidRPr="00716712">
        <w:rPr>
          <w:rFonts w:ascii="Times New Roman" w:eastAsia="Times New Roman" w:hAnsi="Times New Roman" w:cs="Times New Roman"/>
          <w:bCs/>
          <w:i/>
          <w:iCs/>
          <w:sz w:val="24"/>
          <w:szCs w:val="24"/>
        </w:rPr>
        <w:t>scope</w:t>
      </w:r>
      <w:r w:rsidR="007B4494">
        <w:rPr>
          <w:rFonts w:ascii="Times New Roman" w:eastAsia="Times New Roman" w:hAnsi="Times New Roman" w:cs="Times New Roman"/>
          <w:bCs/>
          <w:sz w:val="24"/>
          <w:szCs w:val="24"/>
        </w:rPr>
        <w:t xml:space="preserve"> perlu dikembangkan secara menyuluh agar mengetahui rahasia-rahasia yang diberikan oleh Allah.</w:t>
      </w:r>
    </w:p>
    <w:p w:rsidR="000878CF" w:rsidRDefault="00716712" w:rsidP="002D0A3C">
      <w:pPr>
        <w:spacing w:after="0" w:line="24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Kaitannya dengan pendidikan holistik di sini memang tidak terlalu rinci, hanya saja jika dipahami dengan </w:t>
      </w:r>
      <w:r w:rsidRPr="00716712">
        <w:rPr>
          <w:rFonts w:ascii="Times New Roman" w:eastAsia="Times New Roman" w:hAnsi="Times New Roman" w:cs="Times New Roman"/>
          <w:bCs/>
          <w:i/>
          <w:iCs/>
          <w:sz w:val="24"/>
          <w:szCs w:val="24"/>
        </w:rPr>
        <w:t>maqashid</w:t>
      </w:r>
      <w:r>
        <w:rPr>
          <w:rFonts w:ascii="Times New Roman" w:eastAsia="Times New Roman" w:hAnsi="Times New Roman" w:cs="Times New Roman"/>
          <w:bCs/>
          <w:sz w:val="24"/>
          <w:szCs w:val="24"/>
        </w:rPr>
        <w:t xml:space="preserve"> atau tujuan dari pendidikan melalui kata </w:t>
      </w:r>
      <w:r w:rsidRPr="002D0A3C">
        <w:rPr>
          <w:rFonts w:ascii="Times New Roman" w:eastAsia="Times New Roman" w:hAnsi="Times New Roman" w:cs="Times New Roman"/>
          <w:bCs/>
          <w:i/>
          <w:iCs/>
          <w:sz w:val="24"/>
          <w:szCs w:val="24"/>
        </w:rPr>
        <w:t>ta’lim</w:t>
      </w:r>
      <w:r>
        <w:rPr>
          <w:rFonts w:ascii="Times New Roman" w:eastAsia="Times New Roman" w:hAnsi="Times New Roman" w:cs="Times New Roman"/>
          <w:bCs/>
          <w:sz w:val="24"/>
          <w:szCs w:val="24"/>
        </w:rPr>
        <w:t xml:space="preserve"> di atas adalah dapat mengembangkan potensi manusia secara menyeluruh. Sehingga tujuan akhirnya dapat mengetahui rahasia-rahasia alam semesta yang diciptakan oleh Allah. </w:t>
      </w:r>
      <w:r w:rsidR="002D0A3C">
        <w:rPr>
          <w:rFonts w:ascii="Times New Roman" w:eastAsia="Times New Roman" w:hAnsi="Times New Roman" w:cs="Times New Roman"/>
          <w:bCs/>
          <w:sz w:val="24"/>
          <w:szCs w:val="24"/>
        </w:rPr>
        <w:t xml:space="preserve">Hal itu penting mengingat tugas manusia dalam hadits Nabi sebagai pemimpin menciptakan kemaslahatan. Serta tujuan pendidikan dapat </w:t>
      </w:r>
      <w:r w:rsidR="002D0A3C" w:rsidRPr="002D0A3C">
        <w:rPr>
          <w:rFonts w:ascii="Times New Roman" w:eastAsia="Times New Roman" w:hAnsi="Times New Roman" w:cs="Times New Roman"/>
          <w:bCs/>
          <w:sz w:val="24"/>
          <w:szCs w:val="24"/>
        </w:rPr>
        <w:t>mencegah manusia bertindak sewenang-wenang dalam memimpin dan mengelola alam, tanggung jawab manusia untuk mengelola dan menjaganya akan dimintai pertanggungjawaban</w:t>
      </w:r>
      <w:r w:rsidR="002D0A3C">
        <w:rPr>
          <w:rFonts w:ascii="Times New Roman" w:eastAsia="Times New Roman" w:hAnsi="Times New Roman" w:cs="Times New Roman"/>
          <w:bCs/>
          <w:sz w:val="24"/>
          <w:szCs w:val="24"/>
        </w:rPr>
        <w:t>.</w:t>
      </w:r>
    </w:p>
    <w:p w:rsidR="002D0A3C" w:rsidRPr="00B54E2E" w:rsidRDefault="00AE1164" w:rsidP="00B54E2E">
      <w:pPr>
        <w:spacing w:after="0" w:line="240" w:lineRule="auto"/>
        <w:ind w:firstLine="72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Sebagai bentuk pertanggung jawaban itulah maka dikenalkan juga proses pendidikan yang disampaikan melalui kata </w:t>
      </w:r>
      <w:r w:rsidRPr="00AE1164">
        <w:rPr>
          <w:rFonts w:ascii="Times New Roman" w:eastAsia="Times New Roman" w:hAnsi="Times New Roman" w:cs="Times New Roman"/>
          <w:bCs/>
          <w:i/>
          <w:iCs/>
          <w:sz w:val="24"/>
          <w:szCs w:val="24"/>
        </w:rPr>
        <w:t>tarbiyah</w:t>
      </w:r>
      <w:r>
        <w:rPr>
          <w:rFonts w:ascii="Times New Roman" w:eastAsia="Times New Roman" w:hAnsi="Times New Roman" w:cs="Times New Roman"/>
          <w:bCs/>
          <w:sz w:val="24"/>
          <w:szCs w:val="24"/>
        </w:rPr>
        <w:t>, yang secara bahasa kata tersebut memiliki makna mengasuh, memelihara, menuntun,</w:t>
      </w:r>
      <w:r w:rsidR="00B16799">
        <w:rPr>
          <w:rFonts w:ascii="Times New Roman" w:eastAsia="Times New Roman" w:hAnsi="Times New Roman" w:cs="Times New Roman"/>
          <w:bCs/>
          <w:sz w:val="24"/>
          <w:szCs w:val="24"/>
        </w:rPr>
        <w:t xml:space="preserve"> membina dan menumbuh kembangkan. S</w:t>
      </w:r>
      <w:r w:rsidR="008E3C72">
        <w:rPr>
          <w:rFonts w:ascii="Times New Roman" w:eastAsia="Times New Roman" w:hAnsi="Times New Roman" w:cs="Times New Roman"/>
          <w:bCs/>
          <w:sz w:val="24"/>
          <w:szCs w:val="24"/>
        </w:rPr>
        <w:t>epert</w:t>
      </w:r>
      <w:r w:rsidR="00B16799">
        <w:rPr>
          <w:rFonts w:ascii="Times New Roman" w:eastAsia="Times New Roman" w:hAnsi="Times New Roman" w:cs="Times New Roman"/>
          <w:bCs/>
          <w:sz w:val="24"/>
          <w:szCs w:val="24"/>
        </w:rPr>
        <w:t>i yang dipahami oleh Buya Hamka</w:t>
      </w:r>
      <w:r w:rsidR="008E3C72">
        <w:rPr>
          <w:rFonts w:ascii="Times New Roman" w:eastAsia="Times New Roman" w:hAnsi="Times New Roman" w:cs="Times New Roman"/>
          <w:bCs/>
          <w:sz w:val="24"/>
          <w:szCs w:val="24"/>
        </w:rPr>
        <w:t xml:space="preserve"> </w:t>
      </w:r>
      <w:r w:rsidR="00B16799">
        <w:rPr>
          <w:rFonts w:ascii="Times New Roman" w:eastAsia="Times New Roman" w:hAnsi="Times New Roman" w:cs="Times New Roman"/>
          <w:bCs/>
          <w:sz w:val="24"/>
          <w:szCs w:val="24"/>
        </w:rPr>
        <w:t>ketika</w:t>
      </w:r>
      <w:r w:rsidR="004531FA">
        <w:rPr>
          <w:rFonts w:ascii="Times New Roman" w:eastAsia="Times New Roman" w:hAnsi="Times New Roman" w:cs="Times New Roman"/>
          <w:bCs/>
          <w:sz w:val="24"/>
          <w:szCs w:val="24"/>
        </w:rPr>
        <w:t xml:space="preserve"> menafsirkan ayat </w:t>
      </w:r>
      <w:r w:rsidR="00A64A44">
        <w:rPr>
          <w:rFonts w:ascii="Times New Roman" w:eastAsia="Times New Roman" w:hAnsi="Times New Roman" w:cs="Times New Roman"/>
          <w:bCs/>
          <w:sz w:val="24"/>
          <w:szCs w:val="24"/>
        </w:rPr>
        <w:t>1 surah Alfatihah menurutnya bahwa kata tersebut memiliki makna mengasuh, membimbing, menjaga, mendidik dan memelihara.</w:t>
      </w:r>
      <w:r w:rsidR="00A64A44">
        <w:rPr>
          <w:rStyle w:val="FootnoteReference"/>
          <w:rFonts w:ascii="Times New Roman" w:eastAsia="Times New Roman" w:hAnsi="Times New Roman" w:cs="Times New Roman"/>
          <w:bCs/>
          <w:sz w:val="24"/>
          <w:szCs w:val="24"/>
        </w:rPr>
        <w:footnoteReference w:id="27"/>
      </w:r>
      <w:r w:rsidR="00B54E2E">
        <w:rPr>
          <w:rFonts w:ascii="Times New Roman" w:eastAsia="Times New Roman" w:hAnsi="Times New Roman" w:cs="Times New Roman"/>
          <w:bCs/>
          <w:sz w:val="24"/>
          <w:szCs w:val="24"/>
        </w:rPr>
        <w:t xml:space="preserve"> Dalam bahasa Fakhruddin al-Razi kata </w:t>
      </w:r>
      <w:r w:rsidR="00B54E2E" w:rsidRPr="00B54E2E">
        <w:rPr>
          <w:rFonts w:ascii="Times New Roman" w:eastAsia="Times New Roman" w:hAnsi="Times New Roman" w:cs="Times New Roman"/>
          <w:bCs/>
          <w:i/>
          <w:iCs/>
          <w:sz w:val="24"/>
          <w:szCs w:val="24"/>
        </w:rPr>
        <w:t>rabba</w:t>
      </w:r>
      <w:r w:rsidR="00B54E2E">
        <w:rPr>
          <w:rFonts w:ascii="Times New Roman" w:eastAsia="Times New Roman" w:hAnsi="Times New Roman" w:cs="Times New Roman"/>
          <w:bCs/>
          <w:sz w:val="24"/>
          <w:szCs w:val="24"/>
        </w:rPr>
        <w:t xml:space="preserve"> sebagai bentuk derivasi dari kata </w:t>
      </w:r>
      <w:r w:rsidR="00B54E2E" w:rsidRPr="00B54E2E">
        <w:rPr>
          <w:rFonts w:ascii="Times New Roman" w:eastAsia="Times New Roman" w:hAnsi="Times New Roman" w:cs="Times New Roman"/>
          <w:bCs/>
          <w:i/>
          <w:iCs/>
          <w:sz w:val="24"/>
          <w:szCs w:val="24"/>
        </w:rPr>
        <w:t>tarbiyyah</w:t>
      </w:r>
      <w:r w:rsidR="00B54E2E">
        <w:rPr>
          <w:rFonts w:ascii="Times New Roman" w:eastAsia="Times New Roman" w:hAnsi="Times New Roman" w:cs="Times New Roman"/>
          <w:bCs/>
          <w:sz w:val="24"/>
          <w:szCs w:val="24"/>
        </w:rPr>
        <w:t xml:space="preserve"> dalam ayat tersebut dipahami sebagai filter dari segala macam kebodohan sehingga dapat mengenali berbagai jenis yang cenderung menjadi </w:t>
      </w:r>
      <w:r w:rsidR="00B54E2E" w:rsidRPr="003A2A4F">
        <w:rPr>
          <w:rFonts w:ascii="Times New Roman" w:eastAsia="Times New Roman" w:hAnsi="Times New Roman" w:cs="Times New Roman"/>
          <w:bCs/>
          <w:sz w:val="24"/>
          <w:szCs w:val="24"/>
        </w:rPr>
        <w:t>peng</w:t>
      </w:r>
      <w:r w:rsidR="003A2A4F" w:rsidRPr="003A2A4F">
        <w:rPr>
          <w:rFonts w:ascii="Times New Roman" w:eastAsia="Times New Roman" w:hAnsi="Times New Roman" w:cs="Times New Roman"/>
          <w:bCs/>
          <w:sz w:val="24"/>
          <w:szCs w:val="24"/>
        </w:rPr>
        <w:t>h</w:t>
      </w:r>
      <w:r w:rsidR="00B54E2E" w:rsidRPr="003A2A4F">
        <w:rPr>
          <w:rFonts w:ascii="Times New Roman" w:eastAsia="Times New Roman" w:hAnsi="Times New Roman" w:cs="Times New Roman"/>
          <w:bCs/>
          <w:sz w:val="24"/>
          <w:szCs w:val="24"/>
        </w:rPr>
        <w:t>alang</w:t>
      </w:r>
      <w:r w:rsidR="00B54E2E">
        <w:rPr>
          <w:rFonts w:ascii="Times New Roman" w:eastAsia="Times New Roman" w:hAnsi="Times New Roman" w:cs="Times New Roman"/>
          <w:bCs/>
          <w:sz w:val="24"/>
          <w:szCs w:val="24"/>
        </w:rPr>
        <w:t xml:space="preserve"> lalu diantarkan menuju keberhasilan. Dan hanya Allah yang mengetahui segala kebodohan itu. Seandainya manusia mampu mengikuti arahan tersebut, maka akan mendapatkan rahasia ilmu yang sangat besar. Karena Allah telah menumpahkan pengetahuan-Nya yang jika terungkap bagaikan laut tanpa tepi.</w:t>
      </w:r>
      <w:r w:rsidR="00EE1AF5">
        <w:rPr>
          <w:rStyle w:val="FootnoteReference"/>
          <w:rFonts w:ascii="Times New Roman" w:eastAsia="Times New Roman" w:hAnsi="Times New Roman" w:cs="Times New Roman"/>
          <w:bCs/>
          <w:sz w:val="24"/>
          <w:szCs w:val="24"/>
        </w:rPr>
        <w:footnoteReference w:id="28"/>
      </w:r>
    </w:p>
    <w:p w:rsidR="006547BE" w:rsidRDefault="009E79E9" w:rsidP="009E79E9">
      <w:pPr>
        <w:ind w:firstLine="720"/>
        <w:jc w:val="both"/>
        <w:rPr>
          <w:rFonts w:asciiTheme="majorBidi" w:hAnsiTheme="majorBidi" w:cstheme="majorBidi"/>
          <w:sz w:val="24"/>
          <w:szCs w:val="24"/>
        </w:rPr>
      </w:pPr>
      <w:r>
        <w:rPr>
          <w:rFonts w:asciiTheme="majorBidi" w:hAnsiTheme="majorBidi" w:cstheme="majorBidi"/>
          <w:sz w:val="24"/>
          <w:szCs w:val="24"/>
        </w:rPr>
        <w:t>Para ahli pendidikan Islam berdebat pada ran</w:t>
      </w:r>
      <w:r w:rsidR="0083602B">
        <w:rPr>
          <w:rFonts w:asciiTheme="majorBidi" w:hAnsiTheme="majorBidi" w:cstheme="majorBidi"/>
          <w:sz w:val="24"/>
          <w:szCs w:val="24"/>
        </w:rPr>
        <w:t>ah ini, ada yang berpendapat ba</w:t>
      </w:r>
      <w:r>
        <w:rPr>
          <w:rFonts w:asciiTheme="majorBidi" w:hAnsiTheme="majorBidi" w:cstheme="majorBidi"/>
          <w:sz w:val="24"/>
          <w:szCs w:val="24"/>
        </w:rPr>
        <w:t>h</w:t>
      </w:r>
      <w:r w:rsidR="0083602B">
        <w:rPr>
          <w:rFonts w:asciiTheme="majorBidi" w:hAnsiTheme="majorBidi" w:cstheme="majorBidi"/>
          <w:sz w:val="24"/>
          <w:szCs w:val="24"/>
        </w:rPr>
        <w:t>w</w:t>
      </w:r>
      <w:r>
        <w:rPr>
          <w:rFonts w:asciiTheme="majorBidi" w:hAnsiTheme="majorBidi" w:cstheme="majorBidi"/>
          <w:sz w:val="24"/>
          <w:szCs w:val="24"/>
        </w:rPr>
        <w:t xml:space="preserve">a kata </w:t>
      </w:r>
      <w:r w:rsidRPr="009E79E9">
        <w:rPr>
          <w:rFonts w:asciiTheme="majorBidi" w:hAnsiTheme="majorBidi" w:cstheme="majorBidi"/>
          <w:i/>
          <w:iCs/>
          <w:sz w:val="24"/>
          <w:szCs w:val="24"/>
        </w:rPr>
        <w:t>tarbiyyah</w:t>
      </w:r>
      <w:r>
        <w:rPr>
          <w:rFonts w:asciiTheme="majorBidi" w:hAnsiTheme="majorBidi" w:cstheme="majorBidi"/>
          <w:sz w:val="24"/>
          <w:szCs w:val="24"/>
        </w:rPr>
        <w:t xml:space="preserve"> cakupannya lebih luas dalam makna pendidikan. Sebab tarbiyyah melibatkan unsur spiritual, kognitif dan kultural untuk menumbuh kembangkan manusia melalui pendidikan. </w:t>
      </w:r>
      <w:r w:rsidR="000600F8">
        <w:rPr>
          <w:rFonts w:asciiTheme="majorBidi" w:hAnsiTheme="majorBidi" w:cstheme="majorBidi"/>
          <w:sz w:val="24"/>
          <w:szCs w:val="24"/>
        </w:rPr>
        <w:t xml:space="preserve">Namun kata ta’lim hanya menyentuh pada aspek secara global. </w:t>
      </w:r>
      <w:r w:rsidR="006A2B33">
        <w:rPr>
          <w:rFonts w:asciiTheme="majorBidi" w:hAnsiTheme="majorBidi" w:cstheme="majorBidi"/>
          <w:sz w:val="24"/>
          <w:szCs w:val="24"/>
        </w:rPr>
        <w:t xml:space="preserve">Melalui analisis </w:t>
      </w:r>
      <w:r w:rsidR="006A2B33" w:rsidRPr="006A2B33">
        <w:rPr>
          <w:rFonts w:asciiTheme="majorBidi" w:hAnsiTheme="majorBidi" w:cstheme="majorBidi"/>
          <w:i/>
          <w:iCs/>
          <w:sz w:val="24"/>
          <w:szCs w:val="24"/>
        </w:rPr>
        <w:t>maqashid al-Syariah</w:t>
      </w:r>
      <w:r w:rsidR="006A2B33">
        <w:rPr>
          <w:rFonts w:asciiTheme="majorBidi" w:hAnsiTheme="majorBidi" w:cstheme="majorBidi"/>
          <w:sz w:val="24"/>
          <w:szCs w:val="24"/>
        </w:rPr>
        <w:t xml:space="preserve"> ini kedua kata kunci tersebut masing-masing memberikan informasi secara general. Meskipun demikian memiliki kaitan dengan hal-hal prinsip untuk diterapkan pada konteks pendidikan. Misalnya dalam ilmu pengetahuan dan riset, yang diperlukan adalah segala perangkat yang berkaitan dengan hal terse</w:t>
      </w:r>
      <w:r w:rsidR="00763BA8">
        <w:rPr>
          <w:rFonts w:asciiTheme="majorBidi" w:hAnsiTheme="majorBidi" w:cstheme="majorBidi"/>
          <w:sz w:val="24"/>
          <w:szCs w:val="24"/>
        </w:rPr>
        <w:t>but. Pada intinya semua perangkat pendidikan dapat mengantarkan pada rahasia-rahasia Allah.</w:t>
      </w:r>
    </w:p>
    <w:p w:rsidR="00763BA8" w:rsidRDefault="00763BA8" w:rsidP="009E79E9">
      <w:pPr>
        <w:ind w:firstLine="720"/>
        <w:jc w:val="both"/>
        <w:rPr>
          <w:rFonts w:asciiTheme="majorBidi" w:hAnsiTheme="majorBidi" w:cstheme="majorBidi"/>
          <w:sz w:val="24"/>
          <w:szCs w:val="24"/>
        </w:rPr>
      </w:pPr>
    </w:p>
    <w:p w:rsidR="00763BA8" w:rsidRDefault="006810AB" w:rsidP="006810AB">
      <w:pPr>
        <w:jc w:val="both"/>
        <w:rPr>
          <w:rFonts w:asciiTheme="majorBidi" w:hAnsiTheme="majorBidi" w:cstheme="majorBidi"/>
          <w:b/>
          <w:bCs/>
          <w:sz w:val="24"/>
          <w:szCs w:val="24"/>
        </w:rPr>
      </w:pPr>
      <w:r w:rsidRPr="006810AB">
        <w:rPr>
          <w:rFonts w:asciiTheme="majorBidi" w:hAnsiTheme="majorBidi" w:cstheme="majorBidi"/>
          <w:b/>
          <w:bCs/>
          <w:sz w:val="24"/>
          <w:szCs w:val="24"/>
        </w:rPr>
        <w:t>KESIMPULAN</w:t>
      </w:r>
    </w:p>
    <w:p w:rsidR="009962DC" w:rsidRDefault="006810AB" w:rsidP="001F3E22">
      <w:pPr>
        <w:jc w:val="both"/>
        <w:rPr>
          <w:rFonts w:asciiTheme="majorBidi" w:hAnsiTheme="majorBidi" w:cstheme="majorBidi"/>
          <w:sz w:val="24"/>
          <w:szCs w:val="24"/>
        </w:rPr>
      </w:pPr>
      <w:r>
        <w:rPr>
          <w:rFonts w:asciiTheme="majorBidi" w:hAnsiTheme="majorBidi" w:cstheme="majorBidi"/>
          <w:b/>
          <w:bCs/>
          <w:sz w:val="24"/>
          <w:szCs w:val="24"/>
        </w:rPr>
        <w:tab/>
      </w:r>
      <w:r w:rsidR="001F3E22">
        <w:rPr>
          <w:rFonts w:asciiTheme="majorBidi" w:hAnsiTheme="majorBidi" w:cstheme="majorBidi"/>
          <w:sz w:val="24"/>
          <w:szCs w:val="24"/>
        </w:rPr>
        <w:t xml:space="preserve">Memahami ayat-ayat tentang pendidkkan dalam Al-Qur’an yang disampaikan melalui kata kunci </w:t>
      </w:r>
      <w:r w:rsidR="001F3E22" w:rsidRPr="001F3E22">
        <w:rPr>
          <w:rFonts w:asciiTheme="majorBidi" w:hAnsiTheme="majorBidi" w:cstheme="majorBidi"/>
          <w:i/>
          <w:iCs/>
          <w:sz w:val="24"/>
          <w:szCs w:val="24"/>
        </w:rPr>
        <w:t>tarbiyyah</w:t>
      </w:r>
      <w:r w:rsidR="001F3E22">
        <w:rPr>
          <w:rFonts w:asciiTheme="majorBidi" w:hAnsiTheme="majorBidi" w:cstheme="majorBidi"/>
          <w:sz w:val="24"/>
          <w:szCs w:val="24"/>
        </w:rPr>
        <w:t xml:space="preserve"> dan </w:t>
      </w:r>
      <w:r w:rsidR="001F3E22" w:rsidRPr="001F3E22">
        <w:rPr>
          <w:rFonts w:asciiTheme="majorBidi" w:hAnsiTheme="majorBidi" w:cstheme="majorBidi"/>
          <w:i/>
          <w:iCs/>
          <w:sz w:val="24"/>
          <w:szCs w:val="24"/>
        </w:rPr>
        <w:t>ta’lim</w:t>
      </w:r>
      <w:r w:rsidR="001F3E22">
        <w:rPr>
          <w:rFonts w:asciiTheme="majorBidi" w:hAnsiTheme="majorBidi" w:cstheme="majorBidi"/>
          <w:i/>
          <w:iCs/>
          <w:sz w:val="24"/>
          <w:szCs w:val="24"/>
        </w:rPr>
        <w:t xml:space="preserve"> </w:t>
      </w:r>
      <w:r w:rsidR="001F3E22">
        <w:rPr>
          <w:rFonts w:asciiTheme="majorBidi" w:hAnsiTheme="majorBidi" w:cstheme="majorBidi"/>
          <w:sz w:val="24"/>
          <w:szCs w:val="24"/>
        </w:rPr>
        <w:t xml:space="preserve">dengan pisau analisis </w:t>
      </w:r>
      <w:r w:rsidR="001F3E22" w:rsidRPr="0083602B">
        <w:rPr>
          <w:rFonts w:asciiTheme="majorBidi" w:hAnsiTheme="majorBidi" w:cstheme="majorBidi"/>
          <w:i/>
          <w:iCs/>
          <w:sz w:val="24"/>
          <w:szCs w:val="24"/>
        </w:rPr>
        <w:t>maqashid al-Syariah</w:t>
      </w:r>
      <w:r w:rsidR="001F3E22">
        <w:rPr>
          <w:rFonts w:asciiTheme="majorBidi" w:hAnsiTheme="majorBidi" w:cstheme="majorBidi"/>
          <w:sz w:val="24"/>
          <w:szCs w:val="24"/>
        </w:rPr>
        <w:t xml:space="preserve"> Jasser Auda memberikan kesimpulan bahwa terdapat interalasi antara kedua kata kunci tersebut. Namun penekanannya dalam klasifikasi Audah lebih dominan pada partial </w:t>
      </w:r>
      <w:r w:rsidR="001F3E22" w:rsidRPr="0083602B">
        <w:rPr>
          <w:rFonts w:asciiTheme="majorBidi" w:hAnsiTheme="majorBidi" w:cstheme="majorBidi"/>
          <w:i/>
          <w:iCs/>
          <w:sz w:val="24"/>
          <w:szCs w:val="24"/>
        </w:rPr>
        <w:t xml:space="preserve">maqashid </w:t>
      </w:r>
      <w:r w:rsidR="001F3E22">
        <w:rPr>
          <w:rFonts w:asciiTheme="majorBidi" w:hAnsiTheme="majorBidi" w:cstheme="majorBidi"/>
          <w:sz w:val="24"/>
          <w:szCs w:val="24"/>
        </w:rPr>
        <w:t xml:space="preserve">yang mendorong melihat secara intens kepentingan yang dibutuhkan untuk suatu pendidikan. </w:t>
      </w:r>
      <w:r w:rsidR="009962DC">
        <w:rPr>
          <w:rFonts w:asciiTheme="majorBidi" w:hAnsiTheme="majorBidi" w:cstheme="majorBidi"/>
          <w:sz w:val="24"/>
          <w:szCs w:val="24"/>
        </w:rPr>
        <w:t xml:space="preserve">Dengan demikian melalui teori tersebut pendidikan holistik yang ditawarkan oleh Al-Qur’an selalu dinamis sesuai dengan konteks zamannya. Oleh sebab itu kata </w:t>
      </w:r>
      <w:r w:rsidR="009962DC" w:rsidRPr="00965D0E">
        <w:rPr>
          <w:rFonts w:asciiTheme="majorBidi" w:hAnsiTheme="majorBidi" w:cstheme="majorBidi"/>
          <w:i/>
          <w:iCs/>
          <w:sz w:val="24"/>
          <w:szCs w:val="24"/>
        </w:rPr>
        <w:t>ta’lim</w:t>
      </w:r>
      <w:r w:rsidR="009962DC">
        <w:rPr>
          <w:rFonts w:asciiTheme="majorBidi" w:hAnsiTheme="majorBidi" w:cstheme="majorBidi"/>
          <w:sz w:val="24"/>
          <w:szCs w:val="24"/>
        </w:rPr>
        <w:t xml:space="preserve"> maupun </w:t>
      </w:r>
      <w:r w:rsidR="009962DC" w:rsidRPr="00965D0E">
        <w:rPr>
          <w:rFonts w:asciiTheme="majorBidi" w:hAnsiTheme="majorBidi" w:cstheme="majorBidi"/>
          <w:i/>
          <w:iCs/>
          <w:sz w:val="24"/>
          <w:szCs w:val="24"/>
        </w:rPr>
        <w:t xml:space="preserve">tarbiyyah </w:t>
      </w:r>
      <w:r w:rsidR="009962DC">
        <w:rPr>
          <w:rFonts w:asciiTheme="majorBidi" w:hAnsiTheme="majorBidi" w:cstheme="majorBidi"/>
          <w:sz w:val="24"/>
          <w:szCs w:val="24"/>
        </w:rPr>
        <w:t xml:space="preserve">yang disampaikan oleh Al-Qur’an hanya memberi penegasan bahwa ilmu pengetahuan diperlukan untuk menyingkap </w:t>
      </w:r>
      <w:r w:rsidR="009962DC">
        <w:rPr>
          <w:rFonts w:asciiTheme="majorBidi" w:hAnsiTheme="majorBidi" w:cstheme="majorBidi"/>
          <w:sz w:val="24"/>
          <w:szCs w:val="24"/>
        </w:rPr>
        <w:lastRenderedPageBreak/>
        <w:t xml:space="preserve">rahasia-rahasia Allah </w:t>
      </w:r>
      <w:r w:rsidR="00045003">
        <w:rPr>
          <w:rFonts w:asciiTheme="majorBidi" w:hAnsiTheme="majorBidi" w:cstheme="majorBidi"/>
          <w:sz w:val="24"/>
          <w:szCs w:val="24"/>
        </w:rPr>
        <w:t>dalam</w:t>
      </w:r>
      <w:r w:rsidR="008C6BF6">
        <w:rPr>
          <w:rFonts w:asciiTheme="majorBidi" w:hAnsiTheme="majorBidi" w:cstheme="majorBidi"/>
          <w:sz w:val="24"/>
          <w:szCs w:val="24"/>
        </w:rPr>
        <w:t xml:space="preserve"> alam semesta ini, selain menciptakan kemaslahatan dan melestarikan bumi.</w:t>
      </w:r>
    </w:p>
    <w:p w:rsidR="009962DC" w:rsidRDefault="009962DC" w:rsidP="001F3E22">
      <w:pPr>
        <w:jc w:val="both"/>
        <w:rPr>
          <w:rFonts w:asciiTheme="majorBidi" w:hAnsiTheme="majorBidi" w:cstheme="majorBidi"/>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FA3983" w:rsidRDefault="00FA3983" w:rsidP="00FA3983">
      <w:pPr>
        <w:jc w:val="center"/>
        <w:rPr>
          <w:rFonts w:asciiTheme="majorBidi" w:hAnsiTheme="majorBidi" w:cstheme="majorBidi"/>
          <w:b/>
          <w:bCs/>
          <w:sz w:val="24"/>
          <w:szCs w:val="24"/>
        </w:rPr>
      </w:pPr>
    </w:p>
    <w:p w:rsidR="009962DC" w:rsidRPr="00FA3983" w:rsidRDefault="00FA3983" w:rsidP="00FA3983">
      <w:pPr>
        <w:jc w:val="center"/>
        <w:rPr>
          <w:rFonts w:asciiTheme="majorBidi" w:hAnsiTheme="majorBidi" w:cstheme="majorBidi"/>
          <w:b/>
          <w:bCs/>
          <w:sz w:val="24"/>
          <w:szCs w:val="24"/>
        </w:rPr>
      </w:pPr>
      <w:r w:rsidRPr="00FA3983">
        <w:rPr>
          <w:rFonts w:asciiTheme="majorBidi" w:hAnsiTheme="majorBidi" w:cstheme="majorBidi"/>
          <w:b/>
          <w:bCs/>
          <w:sz w:val="24"/>
          <w:szCs w:val="24"/>
        </w:rPr>
        <w:lastRenderedPageBreak/>
        <w:t>DAFTAR PUSTAKA</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Pr="00FA3983">
        <w:rPr>
          <w:rFonts w:ascii="Times New Roman" w:hAnsi="Times New Roman" w:cs="Times New Roman"/>
          <w:noProof/>
          <w:sz w:val="24"/>
          <w:szCs w:val="24"/>
        </w:rPr>
        <w:t xml:space="preserve">Abuddin Nata. </w:t>
      </w:r>
      <w:r w:rsidRPr="00FA3983">
        <w:rPr>
          <w:rFonts w:ascii="Times New Roman" w:hAnsi="Times New Roman" w:cs="Times New Roman"/>
          <w:i/>
          <w:iCs/>
          <w:noProof/>
          <w:sz w:val="24"/>
          <w:szCs w:val="24"/>
        </w:rPr>
        <w:t>Filsafat Pendidikan Islam</w:t>
      </w:r>
      <w:r w:rsidRPr="00FA3983">
        <w:rPr>
          <w:rFonts w:ascii="Times New Roman" w:hAnsi="Times New Roman" w:cs="Times New Roman"/>
          <w:noProof/>
          <w:sz w:val="24"/>
          <w:szCs w:val="24"/>
        </w:rPr>
        <w:t>. Jakarta: Gaya Media Pratama, 2005.</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Ahmad Mustafa al-Maraghi. </w:t>
      </w:r>
      <w:r w:rsidRPr="00FA3983">
        <w:rPr>
          <w:rFonts w:ascii="Times New Roman" w:hAnsi="Times New Roman" w:cs="Times New Roman"/>
          <w:i/>
          <w:iCs/>
          <w:noProof/>
          <w:sz w:val="24"/>
          <w:szCs w:val="24"/>
        </w:rPr>
        <w:t>Tafsir Al-Maraghi</w:t>
      </w:r>
      <w:r w:rsidRPr="00FA3983">
        <w:rPr>
          <w:rFonts w:ascii="Times New Roman" w:hAnsi="Times New Roman" w:cs="Times New Roman"/>
          <w:noProof/>
          <w:sz w:val="24"/>
          <w:szCs w:val="24"/>
        </w:rPr>
        <w:t>. Kairo: Mustafa al-Halabi, 1996.</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al-Raghib al-Asfihani. </w:t>
      </w:r>
      <w:r w:rsidRPr="00FA3983">
        <w:rPr>
          <w:rFonts w:ascii="Times New Roman" w:hAnsi="Times New Roman" w:cs="Times New Roman"/>
          <w:i/>
          <w:iCs/>
          <w:noProof/>
          <w:sz w:val="24"/>
          <w:szCs w:val="24"/>
        </w:rPr>
        <w:t>Al-Mufradat Li Al-Fadh Al-Qur’an</w:t>
      </w:r>
      <w:r w:rsidRPr="00FA3983">
        <w:rPr>
          <w:rFonts w:ascii="Times New Roman" w:hAnsi="Times New Roman" w:cs="Times New Roman"/>
          <w:noProof/>
          <w:sz w:val="24"/>
          <w:szCs w:val="24"/>
        </w:rPr>
        <w:t>. Beirut: Dar Kutub al-Ilmiah, 1996.</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Amie Primarni. “Konsep Pendidikan Holistik Dalam Perspektif Islam.” </w:t>
      </w:r>
      <w:r w:rsidRPr="00FA3983">
        <w:rPr>
          <w:rFonts w:ascii="Times New Roman" w:hAnsi="Times New Roman" w:cs="Times New Roman"/>
          <w:i/>
          <w:iCs/>
          <w:noProof/>
          <w:sz w:val="24"/>
          <w:szCs w:val="24"/>
        </w:rPr>
        <w:t>Edukasi Islami: Jurnal Pendidikan Islam</w:t>
      </w:r>
      <w:r w:rsidRPr="00FA3983">
        <w:rPr>
          <w:rFonts w:ascii="Times New Roman" w:hAnsi="Times New Roman" w:cs="Times New Roman"/>
          <w:noProof/>
          <w:sz w:val="24"/>
          <w:szCs w:val="24"/>
        </w:rPr>
        <w:t xml:space="preserve"> 3, no. 5 (2014).</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Aminah binti Mat Yusoff, dkk. “Metacognitives and Morals: The Qur’an As a Guide.” </w:t>
      </w:r>
      <w:r w:rsidRPr="00FA3983">
        <w:rPr>
          <w:rFonts w:ascii="Times New Roman" w:hAnsi="Times New Roman" w:cs="Times New Roman"/>
          <w:i/>
          <w:iCs/>
          <w:noProof/>
          <w:sz w:val="24"/>
          <w:szCs w:val="24"/>
        </w:rPr>
        <w:t>Tourkish Journal of Computer and Matematic Education</w:t>
      </w:r>
      <w:r w:rsidRPr="00FA3983">
        <w:rPr>
          <w:rFonts w:ascii="Times New Roman" w:hAnsi="Times New Roman" w:cs="Times New Roman"/>
          <w:noProof/>
          <w:sz w:val="24"/>
          <w:szCs w:val="24"/>
        </w:rPr>
        <w:t xml:space="preserve"> 12, no. 4 (2021).</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Arfan Muammar, dkk. </w:t>
      </w:r>
      <w:r w:rsidRPr="00FA3983">
        <w:rPr>
          <w:rFonts w:ascii="Times New Roman" w:hAnsi="Times New Roman" w:cs="Times New Roman"/>
          <w:i/>
          <w:iCs/>
          <w:noProof/>
          <w:sz w:val="24"/>
          <w:szCs w:val="24"/>
        </w:rPr>
        <w:t>Studi Islam: Perspektif Insider/Outsider</w:t>
      </w:r>
      <w:r w:rsidRPr="00FA3983">
        <w:rPr>
          <w:rFonts w:ascii="Times New Roman" w:hAnsi="Times New Roman" w:cs="Times New Roman"/>
          <w:noProof/>
          <w:sz w:val="24"/>
          <w:szCs w:val="24"/>
        </w:rPr>
        <w:t>. Yogyakarta: IKAPI, 2012.</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Darmaningtyas, dkk. </w:t>
      </w:r>
      <w:r w:rsidRPr="00FA3983">
        <w:rPr>
          <w:rFonts w:ascii="Times New Roman" w:hAnsi="Times New Roman" w:cs="Times New Roman"/>
          <w:i/>
          <w:iCs/>
          <w:noProof/>
          <w:sz w:val="24"/>
          <w:szCs w:val="24"/>
        </w:rPr>
        <w:t>Membongkar Ideologi Pendidikan, Jelajah Undang-Undang Sistem Pendidikan Nasional</w:t>
      </w:r>
      <w:r w:rsidRPr="00FA3983">
        <w:rPr>
          <w:rFonts w:ascii="Times New Roman" w:hAnsi="Times New Roman" w:cs="Times New Roman"/>
          <w:noProof/>
          <w:sz w:val="24"/>
          <w:szCs w:val="24"/>
        </w:rPr>
        <w:t>. Yogyakarta: Resolusi Press, 2014.</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Ebrahim Jafari, dkk. “Holistic Education: An Aproach for 21 Century.” </w:t>
      </w:r>
      <w:r w:rsidRPr="00FA3983">
        <w:rPr>
          <w:rFonts w:ascii="Times New Roman" w:hAnsi="Times New Roman" w:cs="Times New Roman"/>
          <w:i/>
          <w:iCs/>
          <w:noProof/>
          <w:sz w:val="24"/>
          <w:szCs w:val="24"/>
        </w:rPr>
        <w:t>International Education Studies</w:t>
      </w:r>
      <w:r w:rsidRPr="00FA3983">
        <w:rPr>
          <w:rFonts w:ascii="Times New Roman" w:hAnsi="Times New Roman" w:cs="Times New Roman"/>
          <w:noProof/>
          <w:sz w:val="24"/>
          <w:szCs w:val="24"/>
        </w:rPr>
        <w:t xml:space="preserve"> 5, no. 2 (2012).</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Fakhruddin al-Razi. </w:t>
      </w:r>
      <w:r w:rsidRPr="00FA3983">
        <w:rPr>
          <w:rFonts w:ascii="Times New Roman" w:hAnsi="Times New Roman" w:cs="Times New Roman"/>
          <w:i/>
          <w:iCs/>
          <w:noProof/>
          <w:sz w:val="24"/>
          <w:szCs w:val="24"/>
        </w:rPr>
        <w:t>Mafatih Al-Ghaib</w:t>
      </w:r>
      <w:r w:rsidRPr="00FA3983">
        <w:rPr>
          <w:rFonts w:ascii="Times New Roman" w:hAnsi="Times New Roman" w:cs="Times New Roman"/>
          <w:noProof/>
          <w:sz w:val="24"/>
          <w:szCs w:val="24"/>
        </w:rPr>
        <w:t>. Lebanon: Dar al Fikr, 1981.</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Hamka. </w:t>
      </w:r>
      <w:r w:rsidRPr="00FA3983">
        <w:rPr>
          <w:rFonts w:ascii="Times New Roman" w:hAnsi="Times New Roman" w:cs="Times New Roman"/>
          <w:i/>
          <w:iCs/>
          <w:noProof/>
          <w:sz w:val="24"/>
          <w:szCs w:val="24"/>
        </w:rPr>
        <w:t>Tafsir Al-Azhar: Diperkaya Dengan Pendekatan Sejarah, Sosiologi, Tasawuf, Ilmu Kalam, Sastra Dan Psikologi</w:t>
      </w:r>
      <w:r w:rsidRPr="00FA3983">
        <w:rPr>
          <w:rFonts w:ascii="Times New Roman" w:hAnsi="Times New Roman" w:cs="Times New Roman"/>
          <w:noProof/>
          <w:sz w:val="24"/>
          <w:szCs w:val="24"/>
        </w:rPr>
        <w:t>. Jakarta: Gema Insani Press, 2015.</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Herry Widyastono. “Holistic Education In The Curriculum Of The Basic And Secondary Education.” </w:t>
      </w:r>
      <w:r w:rsidRPr="00FA3983">
        <w:rPr>
          <w:rFonts w:ascii="Times New Roman" w:hAnsi="Times New Roman" w:cs="Times New Roman"/>
          <w:i/>
          <w:iCs/>
          <w:noProof/>
          <w:sz w:val="24"/>
          <w:szCs w:val="24"/>
        </w:rPr>
        <w:t>Jurnal Pendidikan dan Kebudayaan</w:t>
      </w:r>
      <w:r w:rsidRPr="00FA3983">
        <w:rPr>
          <w:rFonts w:ascii="Times New Roman" w:hAnsi="Times New Roman" w:cs="Times New Roman"/>
          <w:noProof/>
          <w:sz w:val="24"/>
          <w:szCs w:val="24"/>
        </w:rPr>
        <w:t xml:space="preserve"> 18, no. 4 (2012).</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Jasser Auda. </w:t>
      </w:r>
      <w:r w:rsidRPr="00FA3983">
        <w:rPr>
          <w:rFonts w:ascii="Times New Roman" w:hAnsi="Times New Roman" w:cs="Times New Roman"/>
          <w:i/>
          <w:iCs/>
          <w:noProof/>
          <w:sz w:val="24"/>
          <w:szCs w:val="24"/>
        </w:rPr>
        <w:t>Maqashid Al-Syari’ah as Philosophy of Islamic Law A System Aproach</w:t>
      </w:r>
      <w:r w:rsidRPr="00FA3983">
        <w:rPr>
          <w:rFonts w:ascii="Times New Roman" w:hAnsi="Times New Roman" w:cs="Times New Roman"/>
          <w:noProof/>
          <w:sz w:val="24"/>
          <w:szCs w:val="24"/>
        </w:rPr>
        <w:t>. London: The International Institute of Islamic Thought, 2007.</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Ki Hadjar Dewantara. </w:t>
      </w:r>
      <w:r w:rsidRPr="00FA3983">
        <w:rPr>
          <w:rFonts w:ascii="Times New Roman" w:hAnsi="Times New Roman" w:cs="Times New Roman"/>
          <w:i/>
          <w:iCs/>
          <w:noProof/>
          <w:sz w:val="24"/>
          <w:szCs w:val="24"/>
        </w:rPr>
        <w:t>Karja I (Pendidikan),</w:t>
      </w:r>
      <w:r w:rsidRPr="00FA3983">
        <w:rPr>
          <w:rFonts w:ascii="Times New Roman" w:hAnsi="Times New Roman" w:cs="Times New Roman"/>
          <w:noProof/>
          <w:sz w:val="24"/>
          <w:szCs w:val="24"/>
        </w:rPr>
        <w:t>. Yogyakarta: Majelis Luhur Taman Siswa, 1965.</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M. Zainuddin. “Paradigma Pendidikan Islam Holistik.” </w:t>
      </w:r>
      <w:r w:rsidRPr="00FA3983">
        <w:rPr>
          <w:rFonts w:ascii="Times New Roman" w:hAnsi="Times New Roman" w:cs="Times New Roman"/>
          <w:i/>
          <w:iCs/>
          <w:noProof/>
          <w:sz w:val="24"/>
          <w:szCs w:val="24"/>
        </w:rPr>
        <w:t>Ulumuna</w:t>
      </w:r>
      <w:r w:rsidRPr="00FA3983">
        <w:rPr>
          <w:rFonts w:ascii="Times New Roman" w:hAnsi="Times New Roman" w:cs="Times New Roman"/>
          <w:noProof/>
          <w:sz w:val="24"/>
          <w:szCs w:val="24"/>
        </w:rPr>
        <w:t xml:space="preserve"> 11, no. 1 (2011).</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Muhammad Abduh. </w:t>
      </w:r>
      <w:r w:rsidRPr="00FA3983">
        <w:rPr>
          <w:rFonts w:ascii="Times New Roman" w:hAnsi="Times New Roman" w:cs="Times New Roman"/>
          <w:i/>
          <w:iCs/>
          <w:noProof/>
          <w:sz w:val="24"/>
          <w:szCs w:val="24"/>
        </w:rPr>
        <w:t>Tafsir Al-Qur’an Al-Karim</w:t>
      </w:r>
      <w:r w:rsidRPr="00FA3983">
        <w:rPr>
          <w:rFonts w:ascii="Times New Roman" w:hAnsi="Times New Roman" w:cs="Times New Roman"/>
          <w:noProof/>
          <w:sz w:val="24"/>
          <w:szCs w:val="24"/>
        </w:rPr>
        <w:t>. Mesir: Dar al-Mannar, 1947.</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Muhammad Athiyyah al-Abrasyi. </w:t>
      </w:r>
      <w:r w:rsidRPr="00FA3983">
        <w:rPr>
          <w:rFonts w:ascii="Times New Roman" w:hAnsi="Times New Roman" w:cs="Times New Roman"/>
          <w:i/>
          <w:iCs/>
          <w:noProof/>
          <w:sz w:val="24"/>
          <w:szCs w:val="24"/>
        </w:rPr>
        <w:t>Ruh Al-Islam</w:t>
      </w:r>
      <w:r w:rsidRPr="00FA3983">
        <w:rPr>
          <w:rFonts w:ascii="Times New Roman" w:hAnsi="Times New Roman" w:cs="Times New Roman"/>
          <w:noProof/>
          <w:sz w:val="24"/>
          <w:szCs w:val="24"/>
        </w:rPr>
        <w:t>. Mesir: Maktabah al-Anjalu al-Mishriyyah, 1964.</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Retna Gumanti. “Maqasid Al-Syariah Menurut Jasser Auda (Pendekatan Sistem Dalam Hukum Islam).” </w:t>
      </w:r>
      <w:r w:rsidRPr="00FA3983">
        <w:rPr>
          <w:rFonts w:ascii="Times New Roman" w:hAnsi="Times New Roman" w:cs="Times New Roman"/>
          <w:i/>
          <w:iCs/>
          <w:noProof/>
          <w:sz w:val="24"/>
          <w:szCs w:val="24"/>
        </w:rPr>
        <w:t>Jurnal al-Himayah</w:t>
      </w:r>
      <w:r w:rsidRPr="00FA3983">
        <w:rPr>
          <w:rFonts w:ascii="Times New Roman" w:hAnsi="Times New Roman" w:cs="Times New Roman"/>
          <w:noProof/>
          <w:sz w:val="24"/>
          <w:szCs w:val="24"/>
        </w:rPr>
        <w:t xml:space="preserve"> 2, no. 1 (2018).</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Rudge”, Lucita T. “Holistic Education: An Analysis of Its Pedagogical Aplication.” The Ohio State University, 2008.</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A3983">
        <w:rPr>
          <w:rFonts w:ascii="Times New Roman" w:hAnsi="Times New Roman" w:cs="Times New Roman"/>
          <w:noProof/>
          <w:sz w:val="24"/>
          <w:szCs w:val="24"/>
        </w:rPr>
        <w:t xml:space="preserve">Siti Mutholingah dan Muh. Rohdi Zamzami. “Relevansi Pemikiran Maqashid Al-Syariah Jasser Auda Terhadap Sistem Pendidikan Multidisipliner.” </w:t>
      </w:r>
      <w:r w:rsidRPr="00FA3983">
        <w:rPr>
          <w:rFonts w:ascii="Times New Roman" w:hAnsi="Times New Roman" w:cs="Times New Roman"/>
          <w:i/>
          <w:iCs/>
          <w:noProof/>
          <w:sz w:val="24"/>
          <w:szCs w:val="24"/>
        </w:rPr>
        <w:t>Ta’limuna</w:t>
      </w:r>
      <w:r w:rsidRPr="00FA3983">
        <w:rPr>
          <w:rFonts w:ascii="Times New Roman" w:hAnsi="Times New Roman" w:cs="Times New Roman"/>
          <w:noProof/>
          <w:sz w:val="24"/>
          <w:szCs w:val="24"/>
        </w:rPr>
        <w:t xml:space="preserve"> 7, no. 2 (2018).</w:t>
      </w:r>
    </w:p>
    <w:p w:rsidR="00FA3983" w:rsidRPr="00FA3983" w:rsidRDefault="00FA3983" w:rsidP="00FA3983">
      <w:pPr>
        <w:widowControl w:val="0"/>
        <w:autoSpaceDE w:val="0"/>
        <w:autoSpaceDN w:val="0"/>
        <w:adjustRightInd w:val="0"/>
        <w:spacing w:line="240" w:lineRule="auto"/>
        <w:ind w:left="480" w:hanging="480"/>
        <w:jc w:val="both"/>
        <w:rPr>
          <w:rFonts w:ascii="Times New Roman" w:hAnsi="Times New Roman" w:cs="Times New Roman"/>
          <w:noProof/>
          <w:sz w:val="24"/>
        </w:rPr>
      </w:pPr>
      <w:r w:rsidRPr="00FA3983">
        <w:rPr>
          <w:rFonts w:ascii="Times New Roman" w:hAnsi="Times New Roman" w:cs="Times New Roman"/>
          <w:noProof/>
          <w:sz w:val="24"/>
          <w:szCs w:val="24"/>
        </w:rPr>
        <w:t xml:space="preserve">Wikanti Iffah Juliani dan Hendro Wibowo. “Integrasi Empat Pilar Pendidikan UNESCO Melalui Pendidikan Holistik Berbasis Karakter Di SMP Muhammadiyah 1 Prambanan.” </w:t>
      </w:r>
      <w:r w:rsidRPr="00FA3983">
        <w:rPr>
          <w:rFonts w:ascii="Times New Roman" w:hAnsi="Times New Roman" w:cs="Times New Roman"/>
          <w:i/>
          <w:iCs/>
          <w:noProof/>
          <w:sz w:val="24"/>
          <w:szCs w:val="24"/>
        </w:rPr>
        <w:t>Jurnal Pendidikan Islam</w:t>
      </w:r>
      <w:r w:rsidRPr="00FA3983">
        <w:rPr>
          <w:rFonts w:ascii="Times New Roman" w:hAnsi="Times New Roman" w:cs="Times New Roman"/>
          <w:noProof/>
          <w:sz w:val="24"/>
          <w:szCs w:val="24"/>
        </w:rPr>
        <w:t xml:space="preserve"> 10, no. 2 (2019).</w:t>
      </w:r>
    </w:p>
    <w:p w:rsidR="006810AB" w:rsidRPr="001F3E22" w:rsidRDefault="00FA3983" w:rsidP="00FA3983">
      <w:pPr>
        <w:jc w:val="both"/>
        <w:rPr>
          <w:rFonts w:asciiTheme="majorBidi" w:hAnsiTheme="majorBidi" w:cstheme="majorBidi"/>
          <w:sz w:val="24"/>
          <w:szCs w:val="24"/>
        </w:rPr>
      </w:pPr>
      <w:r>
        <w:rPr>
          <w:rFonts w:asciiTheme="majorBidi" w:hAnsiTheme="majorBidi" w:cstheme="majorBidi"/>
          <w:sz w:val="24"/>
          <w:szCs w:val="24"/>
        </w:rPr>
        <w:lastRenderedPageBreak/>
        <w:fldChar w:fldCharType="end"/>
      </w:r>
    </w:p>
    <w:sectPr w:rsidR="006810AB" w:rsidRPr="001F3E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CEE" w:rsidRDefault="00035CEE" w:rsidP="00770CB7">
      <w:pPr>
        <w:spacing w:after="0" w:line="240" w:lineRule="auto"/>
      </w:pPr>
      <w:r>
        <w:separator/>
      </w:r>
    </w:p>
  </w:endnote>
  <w:endnote w:type="continuationSeparator" w:id="0">
    <w:p w:rsidR="00035CEE" w:rsidRDefault="00035CEE" w:rsidP="0077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CEE" w:rsidRDefault="00035CEE" w:rsidP="00770CB7">
      <w:pPr>
        <w:spacing w:after="0" w:line="240" w:lineRule="auto"/>
      </w:pPr>
      <w:r>
        <w:separator/>
      </w:r>
    </w:p>
  </w:footnote>
  <w:footnote w:type="continuationSeparator" w:id="0">
    <w:p w:rsidR="00035CEE" w:rsidRDefault="00035CEE" w:rsidP="00770CB7">
      <w:pPr>
        <w:spacing w:after="0" w:line="240" w:lineRule="auto"/>
      </w:pPr>
      <w:r>
        <w:continuationSeparator/>
      </w:r>
    </w:p>
  </w:footnote>
  <w:footnote w:id="1">
    <w:p w:rsidR="00770CB7" w:rsidRPr="002F10DC" w:rsidRDefault="00770CB7"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DE168D" w:rsidRPr="002F10DC">
        <w:rPr>
          <w:rFonts w:asciiTheme="majorBidi" w:hAnsiTheme="majorBidi" w:cstheme="majorBidi"/>
        </w:rPr>
        <w:instrText>ADDIN CSL_CITATION {"citationItems":[{"id":"ITEM-1","itemData":{"author":[{"dropping-particle":"","family":"Ebrahim Jafari","given":"dkk","non-dropping-particle":"","parse-names":false,"suffix":""}],"container-title":"International Education Studies","id":"ITEM-1","issue":"2","issued":{"date-parts":[["2012"]]},"title":"Holistic Education: An Aproach for 21 Century","type":"article-journal","volume":"5"},"uris":["http://www.mendeley.com/documents/?uuid=b5792db4-2d94-487e-86f8-149d09441d2f"]}],"mendeley":{"formattedCitation":"dkk Ebrahim Jafari, “Holistic Education: An Aproach for 21 Century,” &lt;i&gt;International Education Studies&lt;/i&gt; 5, no. 2 (2012).","manualFormatting":"Ebrahim Jafari, dkk “Holistic Education: An Aproach for 21 Century,” International Education Studies 5, no. 2 (2012).","plainTextFormattedCitation":"dkk Ebrahim Jafari, “Holistic Education: An Aproach for 21 Century,” International Education Studies 5, no. 2 (2012).","previouslyFormattedCitation":"dkk Ebrahim Jafari, “Holistic Education: An Aproach for 21 Century,” &lt;i&gt;International Education Studies&lt;/i&gt; 5, no. 2 (2012)."},"properties":{"noteIndex":1},"schema":"https://github.com/citation-style-language/schema/raw/master/csl-citation.json"}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Ebrahim Jafari,</w:t>
      </w:r>
      <w:r w:rsidR="001F6CF0" w:rsidRPr="002F10DC">
        <w:rPr>
          <w:rFonts w:asciiTheme="majorBidi" w:hAnsiTheme="majorBidi" w:cstheme="majorBidi"/>
          <w:noProof/>
        </w:rPr>
        <w:t xml:space="preserve"> dkk</w:t>
      </w:r>
      <w:r w:rsidRPr="002F10DC">
        <w:rPr>
          <w:rFonts w:asciiTheme="majorBidi" w:hAnsiTheme="majorBidi" w:cstheme="majorBidi"/>
          <w:noProof/>
        </w:rPr>
        <w:t xml:space="preserve"> “Holistic Education: An Aproach for 21 Century,” </w:t>
      </w:r>
      <w:r w:rsidRPr="002F10DC">
        <w:rPr>
          <w:rFonts w:asciiTheme="majorBidi" w:hAnsiTheme="majorBidi" w:cstheme="majorBidi"/>
          <w:i/>
          <w:noProof/>
        </w:rPr>
        <w:t>International Education Studies</w:t>
      </w:r>
      <w:r w:rsidRPr="002F10DC">
        <w:rPr>
          <w:rFonts w:asciiTheme="majorBidi" w:hAnsiTheme="majorBidi" w:cstheme="majorBidi"/>
          <w:noProof/>
        </w:rPr>
        <w:t xml:space="preserve"> 5, no. 2 (2012).</w:t>
      </w:r>
      <w:r w:rsidRPr="002F10DC">
        <w:rPr>
          <w:rFonts w:asciiTheme="majorBidi" w:hAnsiTheme="majorBidi" w:cstheme="majorBidi"/>
        </w:rPr>
        <w:fldChar w:fldCharType="end"/>
      </w:r>
    </w:p>
  </w:footnote>
  <w:footnote w:id="2">
    <w:p w:rsidR="006D5554" w:rsidRPr="002F10DC" w:rsidRDefault="006D5554"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2005B7" w:rsidRPr="002F10DC">
        <w:rPr>
          <w:rFonts w:asciiTheme="majorBidi" w:hAnsiTheme="majorBidi" w:cstheme="majorBidi"/>
        </w:rPr>
        <w:instrText>ADDIN CSL_CITATION {"citationItems":[{"id":"ITEM-1","itemData":{"author":[{"dropping-particle":"","family":"Rudge”","given":"Lucita T.","non-dropping-particle":"","parse-names":false,"suffix":""}],"id":"ITEM-1","issued":{"date-parts":[["2008"]]},"publisher":"The Ohio State University","title":"Holistic Education: An Analysis of Its Pedagogical Aplication","type":"thesis"},"uris":["http://www.mendeley.com/documents/?uuid=4b342e69-e0a1-40af-9134-4aeab24a7d72"]}],"mendeley":{"formattedCitation":"Lucita T. Rudge”, “Holistic Education: An Analysis of Its Pedagogical Aplication” (The Ohio State University, 2008).","plainTextFormattedCitation":"Lucita T. Rudge”, “Holistic Education: An Analysis of Its Pedagogical Aplication” (The Ohio State University, 2008).","previouslyFormattedCitation":"Lucita T. Rudge”, “Holistic Education: An Analysis of Its Pedagogical Aplication” (The Ohio State University, 2008)."},"properties":{"noteIndex":2},"schema":"https://github.com/citation-style-language/schema/raw/master/csl-citation.json"}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Lucita T. Rudge”, “Holistic Education: An Analysis of Its Pedagogical Aplication” (The Ohio State University, 2008).</w:t>
      </w:r>
      <w:r w:rsidRPr="002F10DC">
        <w:rPr>
          <w:rFonts w:asciiTheme="majorBidi" w:hAnsiTheme="majorBidi" w:cstheme="majorBidi"/>
        </w:rPr>
        <w:fldChar w:fldCharType="end"/>
      </w:r>
    </w:p>
  </w:footnote>
  <w:footnote w:id="3">
    <w:p w:rsidR="002005B7" w:rsidRPr="002F10DC" w:rsidRDefault="00E159ED" w:rsidP="002F10DC">
      <w:pPr>
        <w:pStyle w:val="FootnoteText"/>
        <w:jc w:val="both"/>
        <w:rPr>
          <w:rFonts w:asciiTheme="majorBidi" w:hAnsiTheme="majorBidi" w:cstheme="majorBidi"/>
        </w:rPr>
      </w:pPr>
      <w:r w:rsidRPr="002F10DC">
        <w:rPr>
          <w:rFonts w:asciiTheme="majorBidi" w:hAnsiTheme="majorBidi" w:cstheme="majorBidi"/>
        </w:rPr>
        <w:tab/>
      </w:r>
      <w:r w:rsidR="002005B7" w:rsidRPr="002F10DC">
        <w:rPr>
          <w:rStyle w:val="FootnoteReference"/>
          <w:rFonts w:asciiTheme="majorBidi" w:hAnsiTheme="majorBidi" w:cstheme="majorBidi"/>
        </w:rPr>
        <w:footnoteRef/>
      </w:r>
      <w:r w:rsidR="002005B7" w:rsidRPr="002F10DC">
        <w:rPr>
          <w:rFonts w:asciiTheme="majorBidi" w:hAnsiTheme="majorBidi" w:cstheme="majorBidi"/>
        </w:rPr>
        <w:t xml:space="preserve"> </w:t>
      </w:r>
      <w:r w:rsidR="002005B7" w:rsidRPr="002F10DC">
        <w:rPr>
          <w:rFonts w:asciiTheme="majorBidi" w:hAnsiTheme="majorBidi" w:cstheme="majorBidi"/>
        </w:rPr>
        <w:fldChar w:fldCharType="begin" w:fldLock="1"/>
      </w:r>
      <w:r w:rsidR="009564F9" w:rsidRPr="002F10DC">
        <w:rPr>
          <w:rFonts w:asciiTheme="majorBidi" w:hAnsiTheme="majorBidi" w:cstheme="majorBidi"/>
        </w:rPr>
        <w:instrText>ADDIN CSL_CITATION {"citationItems":[{"id":"ITEM-1","itemData":{"author":[{"dropping-particle":"","family":"Wikanti Iffah Juliani dan Hendro Wibowo","given":"","non-dropping-particle":"","parse-names":false,"suffix":""}],"container-title":"Jurnal Pendidikan Islam","id":"ITEM-1","issue":"2","issued":{"date-parts":[["2019"]]},"title":"Integrasi Empat Pilar Pendidikan UNESCO Melalui Pendidikan Holistik Berbasis Karakter di SMP Muhammadiyah 1 Prambanan","type":"article-journal","volume":"10"},"uris":["http://www.mendeley.com/documents/?uuid=fc205510-a76a-41ae-b381-4be35db1f4a2"]}],"mendeley":{"formattedCitation":"Wikanti Iffah Juliani dan Hendro Wibowo, “Integrasi Empat Pilar Pendidikan UNESCO Melalui Pendidikan Holistik Berbasis Karakter Di SMP Muhammadiyah 1 Prambanan,” &lt;i&gt;Jurnal Pendidikan Islam&lt;/i&gt; 10, no. 2 (2019).","plainTextFormattedCitation":"Wikanti Iffah Juliani dan Hendro Wibowo, “Integrasi Empat Pilar Pendidikan UNESCO Melalui Pendidikan Holistik Berbasis Karakter Di SMP Muhammadiyah 1 Prambanan,” Jurnal Pendidikan Islam 10, no. 2 (2019).","previouslyFormattedCitation":"Wikanti Iffah Juliani dan Hendro Wibowo, “Integrasi Empat Pilar Pendidikan UNESCO Melalui Pendidikan Holistik Berbasis Karakter Di SMP Muhammadiyah 1 Prambanan,” &lt;i&gt;Jurnal Pendidikan Islam&lt;/i&gt; 10, no. 2 (2019)."},"properties":{"noteIndex":3},"schema":"https://github.com/citation-style-language/schema/raw/master/csl-citation.json"}</w:instrText>
      </w:r>
      <w:r w:rsidR="002005B7" w:rsidRPr="002F10DC">
        <w:rPr>
          <w:rFonts w:asciiTheme="majorBidi" w:hAnsiTheme="majorBidi" w:cstheme="majorBidi"/>
        </w:rPr>
        <w:fldChar w:fldCharType="separate"/>
      </w:r>
      <w:r w:rsidR="002005B7" w:rsidRPr="002F10DC">
        <w:rPr>
          <w:rFonts w:asciiTheme="majorBidi" w:hAnsiTheme="majorBidi" w:cstheme="majorBidi"/>
          <w:noProof/>
        </w:rPr>
        <w:t xml:space="preserve">Wikanti Iffah Juliani dan Hendro Wibowo, “Integrasi Empat Pilar Pendidikan UNESCO Melalui Pendidikan Holistik Berbasis Karakter Di SMP Muhammadiyah 1 Prambanan,” </w:t>
      </w:r>
      <w:r w:rsidR="002005B7" w:rsidRPr="002F10DC">
        <w:rPr>
          <w:rFonts w:asciiTheme="majorBidi" w:hAnsiTheme="majorBidi" w:cstheme="majorBidi"/>
          <w:i/>
          <w:noProof/>
        </w:rPr>
        <w:t>Jurnal Pendidikan Islam</w:t>
      </w:r>
      <w:r w:rsidR="002005B7" w:rsidRPr="002F10DC">
        <w:rPr>
          <w:rFonts w:asciiTheme="majorBidi" w:hAnsiTheme="majorBidi" w:cstheme="majorBidi"/>
          <w:noProof/>
        </w:rPr>
        <w:t xml:space="preserve"> 10, no. 2 (2019).</w:t>
      </w:r>
      <w:r w:rsidR="002005B7" w:rsidRPr="002F10DC">
        <w:rPr>
          <w:rFonts w:asciiTheme="majorBidi" w:hAnsiTheme="majorBidi" w:cstheme="majorBidi"/>
        </w:rPr>
        <w:fldChar w:fldCharType="end"/>
      </w:r>
    </w:p>
  </w:footnote>
  <w:footnote w:id="4">
    <w:p w:rsidR="009564F9" w:rsidRPr="002F10DC" w:rsidRDefault="002544B3" w:rsidP="002F10DC">
      <w:pPr>
        <w:pStyle w:val="FootnoteText"/>
        <w:jc w:val="both"/>
        <w:rPr>
          <w:rFonts w:asciiTheme="majorBidi" w:hAnsiTheme="majorBidi" w:cstheme="majorBidi"/>
        </w:rPr>
      </w:pPr>
      <w:r w:rsidRPr="002F10DC">
        <w:rPr>
          <w:rFonts w:asciiTheme="majorBidi" w:hAnsiTheme="majorBidi" w:cstheme="majorBidi"/>
        </w:rPr>
        <w:tab/>
      </w:r>
      <w:r w:rsidR="009564F9" w:rsidRPr="002F10DC">
        <w:rPr>
          <w:rStyle w:val="FootnoteReference"/>
          <w:rFonts w:asciiTheme="majorBidi" w:hAnsiTheme="majorBidi" w:cstheme="majorBidi"/>
        </w:rPr>
        <w:footnoteRef/>
      </w:r>
      <w:r w:rsidR="009564F9" w:rsidRPr="002F10DC">
        <w:rPr>
          <w:rFonts w:asciiTheme="majorBidi" w:hAnsiTheme="majorBidi" w:cstheme="majorBidi"/>
        </w:rPr>
        <w:t xml:space="preserve"> </w:t>
      </w:r>
      <w:r w:rsidR="009564F9" w:rsidRPr="002F10DC">
        <w:rPr>
          <w:rFonts w:asciiTheme="majorBidi" w:hAnsiTheme="majorBidi" w:cstheme="majorBidi"/>
        </w:rPr>
        <w:fldChar w:fldCharType="begin" w:fldLock="1"/>
      </w:r>
      <w:r w:rsidR="00BC5014" w:rsidRPr="002F10DC">
        <w:rPr>
          <w:rFonts w:asciiTheme="majorBidi" w:hAnsiTheme="majorBidi" w:cstheme="majorBidi"/>
        </w:rPr>
        <w:instrText>ADDIN CSL_CITATION {"citationItems":[{"id":"ITEM-1","itemData":{"author":[{"dropping-particle":"","family":"Aminah binti Mat Yusoff","given":"dkk","non-dropping-particle":"","parse-names":false,"suffix":""}],"container-title":"Tourkish Journal of Computer and Matematic Education","id":"ITEM-1","issue":"4","issued":{"date-parts":[["2021"]]},"title":"Metacognitives and Morals: The Qur'an As a Guide","type":"article-journal","volume":"12"},"uris":["http://www.mendeley.com/documents/?uuid=b0619b4b-580a-4362-b6c3-5be98d718fda"]}],"mendeley":{"formattedCitation":"dkk Aminah binti Mat Yusoff, “Metacognitives and Morals: The Qur’an As a Guide,” &lt;i&gt;Tourkish Journal of Computer and Matematic Education&lt;/i&gt; 12, no. 4 (2021).","plainTextFormattedCitation":"dkk Aminah binti Mat Yusoff, “Metacognitives and Morals: The Qur’an As a Guide,” Tourkish Journal of Computer and Matematic Education 12, no. 4 (2021).","previouslyFormattedCitation":"dkk Aminah binti Mat Yusoff, “Metacognitives and Morals: The Qur’an As a Guide,” &lt;i&gt;Tourkish Journal of Computer and Matematic Education&lt;/i&gt; 12, no. 4 (2021)."},"properties":{"noteIndex":4},"schema":"https://github.com/citation-style-language/schema/raw/master/csl-citation.json"}</w:instrText>
      </w:r>
      <w:r w:rsidR="009564F9" w:rsidRPr="002F10DC">
        <w:rPr>
          <w:rFonts w:asciiTheme="majorBidi" w:hAnsiTheme="majorBidi" w:cstheme="majorBidi"/>
        </w:rPr>
        <w:fldChar w:fldCharType="separate"/>
      </w:r>
      <w:r w:rsidR="009564F9" w:rsidRPr="002F10DC">
        <w:rPr>
          <w:rFonts w:asciiTheme="majorBidi" w:hAnsiTheme="majorBidi" w:cstheme="majorBidi"/>
          <w:noProof/>
        </w:rPr>
        <w:t xml:space="preserve">dkk Aminah binti Mat Yusoff, “Metacognitives and Morals: The Qur’an As a Guide,” </w:t>
      </w:r>
      <w:r w:rsidR="009564F9" w:rsidRPr="002F10DC">
        <w:rPr>
          <w:rFonts w:asciiTheme="majorBidi" w:hAnsiTheme="majorBidi" w:cstheme="majorBidi"/>
          <w:i/>
          <w:noProof/>
        </w:rPr>
        <w:t>Tourkish Journal of Computer and Matematic Education</w:t>
      </w:r>
      <w:r w:rsidR="009564F9" w:rsidRPr="002F10DC">
        <w:rPr>
          <w:rFonts w:asciiTheme="majorBidi" w:hAnsiTheme="majorBidi" w:cstheme="majorBidi"/>
          <w:noProof/>
        </w:rPr>
        <w:t xml:space="preserve"> 12, no. 4 (2021).</w:t>
      </w:r>
      <w:r w:rsidR="009564F9" w:rsidRPr="002F10DC">
        <w:rPr>
          <w:rFonts w:asciiTheme="majorBidi" w:hAnsiTheme="majorBidi" w:cstheme="majorBidi"/>
        </w:rPr>
        <w:fldChar w:fldCharType="end"/>
      </w:r>
    </w:p>
  </w:footnote>
  <w:footnote w:id="5">
    <w:p w:rsidR="00BC5014" w:rsidRPr="002F10DC" w:rsidRDefault="00BC5014"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3162A0" w:rsidRPr="002F10DC">
        <w:rPr>
          <w:rFonts w:asciiTheme="majorBidi" w:hAnsiTheme="majorBidi" w:cstheme="majorBidi"/>
        </w:rPr>
        <w:instrText>ADDIN CSL_CITATION {"citationItems":[{"id":"ITEM-1","itemData":{"author":[{"dropping-particle":"","family":"M. Zainuddin","given":"","non-dropping-particle":"","parse-names":false,"suffix":""}],"container-title":"Ulumuna","id":"ITEM-1","issue":"1","issued":{"date-parts":[["2011"]]},"title":"Paradigma Pendidikan Islam Holistik","type":"article-journal","volume":"11"},"uris":["http://www.mendeley.com/documents/?uuid=76b8eaa7-ad4a-4525-9704-0bd065db9b09"]}],"mendeley":{"formattedCitation":"M. Zainuddin, “Paradigma Pendidikan Islam Holistik,” &lt;i&gt;Ulumuna&lt;/i&gt; 11, no. 1 (2011).","plainTextFormattedCitation":"M. Zainuddin, “Paradigma Pendidikan Islam Holistik,” Ulumuna 11, no. 1 (2011).","previouslyFormattedCitation":"M. Zainuddin, “Paradigma Pendidikan Islam Holistik,” &lt;i&gt;Ulumuna&lt;/i&gt; 11, no. 1 (2011)."},"properties":{"noteIndex":5},"schema":"https://github.com/citation-style-language/schema/raw/master/csl-citation.json"}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 xml:space="preserve">M. Zainuddin, “Paradigma Pendidikan Islam Holistik,” </w:t>
      </w:r>
      <w:r w:rsidRPr="002F10DC">
        <w:rPr>
          <w:rFonts w:asciiTheme="majorBidi" w:hAnsiTheme="majorBidi" w:cstheme="majorBidi"/>
          <w:i/>
          <w:noProof/>
        </w:rPr>
        <w:t>Ulumuna</w:t>
      </w:r>
      <w:r w:rsidRPr="002F10DC">
        <w:rPr>
          <w:rFonts w:asciiTheme="majorBidi" w:hAnsiTheme="majorBidi" w:cstheme="majorBidi"/>
          <w:noProof/>
        </w:rPr>
        <w:t xml:space="preserve"> 11, no. 1 (2011).</w:t>
      </w:r>
      <w:r w:rsidRPr="002F10DC">
        <w:rPr>
          <w:rFonts w:asciiTheme="majorBidi" w:hAnsiTheme="majorBidi" w:cstheme="majorBidi"/>
        </w:rPr>
        <w:fldChar w:fldCharType="end"/>
      </w:r>
    </w:p>
  </w:footnote>
  <w:footnote w:id="6">
    <w:p w:rsidR="003162A0" w:rsidRPr="002F10DC" w:rsidRDefault="00D81739" w:rsidP="002F10DC">
      <w:pPr>
        <w:pStyle w:val="FootnoteText"/>
        <w:jc w:val="both"/>
        <w:rPr>
          <w:rFonts w:asciiTheme="majorBidi" w:hAnsiTheme="majorBidi" w:cstheme="majorBidi"/>
        </w:rPr>
      </w:pPr>
      <w:r w:rsidRPr="002F10DC">
        <w:rPr>
          <w:rFonts w:asciiTheme="majorBidi" w:hAnsiTheme="majorBidi" w:cstheme="majorBidi"/>
        </w:rPr>
        <w:tab/>
      </w:r>
      <w:r w:rsidR="003162A0" w:rsidRPr="002F10DC">
        <w:rPr>
          <w:rStyle w:val="FootnoteReference"/>
          <w:rFonts w:asciiTheme="majorBidi" w:hAnsiTheme="majorBidi" w:cstheme="majorBidi"/>
        </w:rPr>
        <w:footnoteRef/>
      </w:r>
      <w:r w:rsidR="003162A0" w:rsidRPr="002F10DC">
        <w:rPr>
          <w:rFonts w:asciiTheme="majorBidi" w:hAnsiTheme="majorBidi" w:cstheme="majorBidi"/>
        </w:rPr>
        <w:t xml:space="preserve"> </w:t>
      </w:r>
      <w:r w:rsidR="003162A0" w:rsidRPr="002F10DC">
        <w:rPr>
          <w:rFonts w:asciiTheme="majorBidi" w:hAnsiTheme="majorBidi" w:cstheme="majorBidi"/>
        </w:rPr>
        <w:fldChar w:fldCharType="begin" w:fldLock="1"/>
      </w:r>
      <w:r w:rsidRPr="002F10DC">
        <w:rPr>
          <w:rFonts w:asciiTheme="majorBidi" w:hAnsiTheme="majorBidi" w:cstheme="majorBidi"/>
        </w:rPr>
        <w:instrText>ADDIN CSL_CITATION {"citationItems":[{"id":"ITEM-1","itemData":{"author":[{"dropping-particle":"","family":"Amie Primarni","given":"","non-dropping-particle":"","parse-names":false,"suffix":""}],"container-title":"Edukasi Islami: Jurnal Pendidikan Islam","id":"ITEM-1","issue":"5","issued":{"date-parts":[["2014"]]},"title":"Konsep Pendidikan Holistik dalam Perspektif Islam","type":"article-journal","volume":"3"},"uris":["http://www.mendeley.com/documents/?uuid=5f8f4d45-3c16-4b1c-9958-c859ff54c369"]}],"mendeley":{"formattedCitation":"Amie Primarni, “Konsep Pendidikan Holistik Dalam Perspektif Islam,” &lt;i&gt;Edukasi Islami: Jurnal Pendidikan Islam&lt;/i&gt; 3, no. 5 (2014).","plainTextFormattedCitation":"Amie Primarni, “Konsep Pendidikan Holistik Dalam Perspektif Islam,” Edukasi Islami: Jurnal Pendidikan Islam 3, no. 5 (2014).","previouslyFormattedCitation":"Amie Primarni, “Konsep Pendidikan Holistik Dalam Perspektif Islam,” &lt;i&gt;Edukasi Islami: Jurnal Pendidikan Islam&lt;/i&gt; 3, no. 5 (2014)."},"properties":{"noteIndex":6},"schema":"https://github.com/citation-style-language/schema/raw/master/csl-citation.json"}</w:instrText>
      </w:r>
      <w:r w:rsidR="003162A0" w:rsidRPr="002F10DC">
        <w:rPr>
          <w:rFonts w:asciiTheme="majorBidi" w:hAnsiTheme="majorBidi" w:cstheme="majorBidi"/>
        </w:rPr>
        <w:fldChar w:fldCharType="separate"/>
      </w:r>
      <w:r w:rsidR="003162A0" w:rsidRPr="002F10DC">
        <w:rPr>
          <w:rFonts w:asciiTheme="majorBidi" w:hAnsiTheme="majorBidi" w:cstheme="majorBidi"/>
          <w:noProof/>
        </w:rPr>
        <w:t xml:space="preserve">Amie Primarni, “Konsep Pendidikan Holistik Dalam Perspektif Islam,” </w:t>
      </w:r>
      <w:r w:rsidR="003162A0" w:rsidRPr="002F10DC">
        <w:rPr>
          <w:rFonts w:asciiTheme="majorBidi" w:hAnsiTheme="majorBidi" w:cstheme="majorBidi"/>
          <w:i/>
          <w:noProof/>
        </w:rPr>
        <w:t>Edukasi Islami: Jurnal Pendidikan Islam</w:t>
      </w:r>
      <w:r w:rsidR="003162A0" w:rsidRPr="002F10DC">
        <w:rPr>
          <w:rFonts w:asciiTheme="majorBidi" w:hAnsiTheme="majorBidi" w:cstheme="majorBidi"/>
          <w:noProof/>
        </w:rPr>
        <w:t xml:space="preserve"> 3, no. 5 (2014).</w:t>
      </w:r>
      <w:r w:rsidR="003162A0" w:rsidRPr="002F10DC">
        <w:rPr>
          <w:rFonts w:asciiTheme="majorBidi" w:hAnsiTheme="majorBidi" w:cstheme="majorBidi"/>
        </w:rPr>
        <w:fldChar w:fldCharType="end"/>
      </w:r>
    </w:p>
  </w:footnote>
  <w:footnote w:id="7">
    <w:p w:rsidR="00D81739" w:rsidRPr="002F10DC" w:rsidRDefault="00D81739"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1C42C3" w:rsidRPr="002F10DC">
        <w:rPr>
          <w:rFonts w:asciiTheme="majorBidi" w:hAnsiTheme="majorBidi" w:cstheme="majorBidi"/>
        </w:rPr>
        <w:instrText>ADDIN CSL_CITATION {"citationItems":[{"id":"ITEM-1","itemData":{"author":[{"dropping-particle":"","family":"Retna Gumanti","given":"","non-dropping-particle":"","parse-names":false,"suffix":""}],"container-title":"Jurnal al-Himayah","id":"ITEM-1","issue":"1","issued":{"date-parts":[["2018"]]},"title":"Maqasid Al-Syariah Menurut Jasser Auda (Pendekatan Sistem dalam Hukum Islam)","type":"article-journal","volume":"2"},"uris":["http://www.mendeley.com/documents/?uuid=bf890294-530e-410e-86e8-fbb5161157f7"]}],"mendeley":{"formattedCitation":"Retna Gumanti, “Maqasid Al-Syariah Menurut Jasser Auda (Pendekatan Sistem Dalam Hukum Islam),” &lt;i&gt;Jurnal al-Himayah&lt;/i&gt; 2, no. 1 (2018).","plainTextFormattedCitation":"Retna Gumanti, “Maqasid Al-Syariah Menurut Jasser Auda (Pendekatan Sistem Dalam Hukum Islam),” Jurnal al-Himayah 2, no. 1 (2018).","previouslyFormattedCitation":"Retna Gumanti, “Maqasid Al-Syariah Menurut Jasser Auda (Pendekatan Sistem Dalam Hukum Islam),” &lt;i&gt;Jurnal al-Himayah&lt;/i&gt; 2, no. 1 (2018)."},"properties":{"noteIndex":7},"schema":"https://github.com/citation-style-language/schema/raw/master/csl-citation.json"}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 xml:space="preserve">Retna Gumanti, “Maqasid Al-Syariah Menurut Jasser Auda (Pendekatan Sistem Dalam Hukum Islam),” </w:t>
      </w:r>
      <w:r w:rsidRPr="002F10DC">
        <w:rPr>
          <w:rFonts w:asciiTheme="majorBidi" w:hAnsiTheme="majorBidi" w:cstheme="majorBidi"/>
          <w:i/>
          <w:noProof/>
        </w:rPr>
        <w:t>Jurnal al-Himayah</w:t>
      </w:r>
      <w:r w:rsidRPr="002F10DC">
        <w:rPr>
          <w:rFonts w:asciiTheme="majorBidi" w:hAnsiTheme="majorBidi" w:cstheme="majorBidi"/>
          <w:noProof/>
        </w:rPr>
        <w:t xml:space="preserve"> 2, no. 1 (2018).</w:t>
      </w:r>
      <w:r w:rsidRPr="002F10DC">
        <w:rPr>
          <w:rFonts w:asciiTheme="majorBidi" w:hAnsiTheme="majorBidi" w:cstheme="majorBidi"/>
        </w:rPr>
        <w:fldChar w:fldCharType="end"/>
      </w:r>
    </w:p>
  </w:footnote>
  <w:footnote w:id="8">
    <w:p w:rsidR="001C42C3" w:rsidRPr="002F10DC" w:rsidRDefault="00F90969" w:rsidP="002F10DC">
      <w:pPr>
        <w:pStyle w:val="FootnoteText"/>
        <w:jc w:val="both"/>
        <w:rPr>
          <w:rFonts w:asciiTheme="majorBidi" w:hAnsiTheme="majorBidi" w:cstheme="majorBidi"/>
        </w:rPr>
      </w:pPr>
      <w:r w:rsidRPr="002F10DC">
        <w:rPr>
          <w:rFonts w:asciiTheme="majorBidi" w:hAnsiTheme="majorBidi" w:cstheme="majorBidi"/>
        </w:rPr>
        <w:tab/>
      </w:r>
      <w:r w:rsidR="001C42C3" w:rsidRPr="002F10DC">
        <w:rPr>
          <w:rStyle w:val="FootnoteReference"/>
          <w:rFonts w:asciiTheme="majorBidi" w:hAnsiTheme="majorBidi" w:cstheme="majorBidi"/>
        </w:rPr>
        <w:footnoteRef/>
      </w:r>
      <w:r w:rsidR="001C42C3" w:rsidRPr="002F10DC">
        <w:rPr>
          <w:rFonts w:asciiTheme="majorBidi" w:hAnsiTheme="majorBidi" w:cstheme="majorBidi"/>
        </w:rPr>
        <w:t xml:space="preserve"> </w:t>
      </w:r>
      <w:r w:rsidR="001C42C3" w:rsidRPr="002F10DC">
        <w:rPr>
          <w:rFonts w:asciiTheme="majorBidi" w:hAnsiTheme="majorBidi" w:cstheme="majorBidi"/>
        </w:rPr>
        <w:fldChar w:fldCharType="begin" w:fldLock="1"/>
      </w:r>
      <w:r w:rsidR="00DE168D" w:rsidRPr="002F10DC">
        <w:rPr>
          <w:rFonts w:asciiTheme="majorBidi" w:hAnsiTheme="majorBidi" w:cstheme="majorBidi"/>
        </w:rPr>
        <w:instrText>ADDIN CSL_CITATION {"citationItems":[{"id":"ITEM-1","itemData":{"author":[{"dropping-particle":"","family":"Siti Mutholingah dan Muh. Rohdi Zamzami","given":"","non-dropping-particle":"","parse-names":false,"suffix":""}],"container-title":"Ta'limuna","id":"ITEM-1","issue":"2","issued":{"date-parts":[["2018"]]},"title":"Relevansi Pemikiran Maqashid al-Syariah Jasser Auda Terhadap Sistem Pendidikan Multidisipliner","type":"article-journal","volume":"7"},"uris":["http://www.mendeley.com/documents/?uuid=76ce1537-9436-43a8-8628-5e6955da2aed"]}],"mendeley":{"formattedCitation":"Siti Mutholingah dan Muh. Rohdi Zamzami, “Relevansi Pemikiran Maqashid Al-Syariah Jasser Auda Terhadap Sistem Pendidikan Multidisipliner,” &lt;i&gt;Ta’limuna&lt;/i&gt; 7, no. 2 (2018).","plainTextFormattedCitation":"Siti Mutholingah dan Muh. Rohdi Zamzami, “Relevansi Pemikiran Maqashid Al-Syariah Jasser Auda Terhadap Sistem Pendidikan Multidisipliner,” Ta’limuna 7, no. 2 (2018).","previouslyFormattedCitation":"Siti Mutholingah dan Muh. Rohdi Zamzami, “Relevansi Pemikiran Maqashid Al-Syariah Jasser Auda Terhadap Sistem Pendidikan Multidisipliner,” &lt;i&gt;Ta’limuna&lt;/i&gt; 7, no. 2 (2018)."},"properties":{"noteIndex":8},"schema":"https://github.com/citation-style-language/schema/raw/master/csl-citation.json"}</w:instrText>
      </w:r>
      <w:r w:rsidR="001C42C3" w:rsidRPr="002F10DC">
        <w:rPr>
          <w:rFonts w:asciiTheme="majorBidi" w:hAnsiTheme="majorBidi" w:cstheme="majorBidi"/>
        </w:rPr>
        <w:fldChar w:fldCharType="separate"/>
      </w:r>
      <w:r w:rsidR="001C42C3" w:rsidRPr="002F10DC">
        <w:rPr>
          <w:rFonts w:asciiTheme="majorBidi" w:hAnsiTheme="majorBidi" w:cstheme="majorBidi"/>
          <w:noProof/>
        </w:rPr>
        <w:t xml:space="preserve">Siti Mutholingah dan Muh. Rohdi Zamzami, “Relevansi Pemikiran Maqashid Al-Syariah Jasser Auda Terhadap Sistem Pendidikan Multidisipliner,” </w:t>
      </w:r>
      <w:r w:rsidR="001C42C3" w:rsidRPr="002F10DC">
        <w:rPr>
          <w:rFonts w:asciiTheme="majorBidi" w:hAnsiTheme="majorBidi" w:cstheme="majorBidi"/>
          <w:i/>
          <w:noProof/>
        </w:rPr>
        <w:t>Ta’limuna</w:t>
      </w:r>
      <w:r w:rsidR="001C42C3" w:rsidRPr="002F10DC">
        <w:rPr>
          <w:rFonts w:asciiTheme="majorBidi" w:hAnsiTheme="majorBidi" w:cstheme="majorBidi"/>
          <w:noProof/>
        </w:rPr>
        <w:t xml:space="preserve"> 7, no. 2 (2018).</w:t>
      </w:r>
      <w:r w:rsidR="001C42C3" w:rsidRPr="002F10DC">
        <w:rPr>
          <w:rFonts w:asciiTheme="majorBidi" w:hAnsiTheme="majorBidi" w:cstheme="majorBidi"/>
        </w:rPr>
        <w:fldChar w:fldCharType="end"/>
      </w:r>
    </w:p>
  </w:footnote>
  <w:footnote w:id="9">
    <w:p w:rsidR="00DE168D" w:rsidRPr="002F10DC" w:rsidRDefault="00DE168D"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796D16" w:rsidRPr="002F10DC">
        <w:rPr>
          <w:rFonts w:asciiTheme="majorBidi" w:hAnsiTheme="majorBidi" w:cstheme="majorBidi"/>
        </w:rPr>
        <w:instrText>ADDIN CSL_CITATION {"citationItems":[{"id":"ITEM-1","itemData":{"author":[{"dropping-particle":"","family":"Abuddin Nata","given":"","non-dropping-particle":"","parse-names":false,"suffix":""}],"id":"ITEM-1","issued":{"date-parts":[["2005"]]},"publisher":"Gaya Media Pratama","publisher-place":"Jakarta","title":"Filsafat Pendidikan Islam","type":"book"},"uris":["http://www.mendeley.com/documents/?uuid=1de7ca82-181d-445c-baf9-e0b22f90b198"]}],"mendeley":{"formattedCitation":"Abuddin Nata, &lt;i&gt;Filsafat Pendidikan Islam&lt;/i&gt; (Jakarta: Gaya Media Pratama, 2005).","plainTextFormattedCitation":"Abuddin Nata, Filsafat Pendidikan Islam (Jakarta: Gaya Media Pratama, 2005).","previouslyFormattedCitation":"Abuddin Nata, &lt;i&gt;Filsafat Pendidikan Islam&lt;/i&gt; (Jakarta: Gaya Media Pratama, 2005)."},"properties":{"noteIndex":9},"schema":"https://github.com/citation-style-language/schema/raw/master/csl-citation.json"}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 xml:space="preserve">Abuddin Nata, </w:t>
      </w:r>
      <w:r w:rsidRPr="002F10DC">
        <w:rPr>
          <w:rFonts w:asciiTheme="majorBidi" w:hAnsiTheme="majorBidi" w:cstheme="majorBidi"/>
          <w:i/>
          <w:noProof/>
        </w:rPr>
        <w:t>Filsafat Pendidikan Islam</w:t>
      </w:r>
      <w:r w:rsidRPr="002F10DC">
        <w:rPr>
          <w:rFonts w:asciiTheme="majorBidi" w:hAnsiTheme="majorBidi" w:cstheme="majorBidi"/>
          <w:noProof/>
        </w:rPr>
        <w:t xml:space="preserve"> (Jakarta: Gaya Media Pratama, 2005).</w:t>
      </w:r>
      <w:r w:rsidRPr="002F10DC">
        <w:rPr>
          <w:rFonts w:asciiTheme="majorBidi" w:hAnsiTheme="majorBidi" w:cstheme="majorBidi"/>
        </w:rPr>
        <w:fldChar w:fldCharType="end"/>
      </w:r>
      <w:r w:rsidRPr="002F10DC">
        <w:rPr>
          <w:rFonts w:asciiTheme="majorBidi" w:hAnsiTheme="majorBidi" w:cstheme="majorBidi"/>
        </w:rPr>
        <w:t xml:space="preserve"> h. 10</w:t>
      </w:r>
    </w:p>
  </w:footnote>
  <w:footnote w:id="10">
    <w:p w:rsidR="00796D16" w:rsidRPr="002F10DC" w:rsidRDefault="00796D16"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717C28" w:rsidRPr="002F10DC">
        <w:rPr>
          <w:rFonts w:asciiTheme="majorBidi" w:hAnsiTheme="majorBidi" w:cstheme="majorBidi"/>
        </w:rPr>
        <w:instrText>ADDIN CSL_CITATION {"citationItems":[{"id":"ITEM-1","itemData":{"author":[{"dropping-particle":"","family":"Ki Hadjar Dewantara","given":"","non-dropping-particle":"","parse-names":false,"suffix":""}],"id":"ITEM-1","issued":{"date-parts":[["1965"]]},"publisher":"Majelis Luhur Taman Siswa","publisher-place":"Yogyakarta","title":"Karja I (Pendidikan),","type":"book"},"uris":["http://www.mendeley.com/documents/?uuid=d20124c8-0805-4164-b539-63982b6d97a6"]}],"mendeley":{"formattedCitation":"Ki Hadjar Dewantara, &lt;i&gt;Karja I (Pendidikan),&lt;/i&gt; (Yogyakarta: Majelis Luhur Taman Siswa, 1965).","plainTextFormattedCitation":"Ki Hadjar Dewantara, Karja I (Pendidikan), (Yogyakarta: Majelis Luhur Taman Siswa, 1965).","previouslyFormattedCitation":"Ki Hadjar Dewantara, &lt;i&gt;Karja I (Pendidikan),&lt;/i&gt; (Yogyakarta: Majelis Luhur Taman Siswa, 1965)."},"properties":{"noteIndex":10},"schema":"https://github.com/citation-style-language/schema/raw/master/csl-citation.json"}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 xml:space="preserve">Ki Hadjar Dewantara, </w:t>
      </w:r>
      <w:r w:rsidRPr="002F10DC">
        <w:rPr>
          <w:rFonts w:asciiTheme="majorBidi" w:hAnsiTheme="majorBidi" w:cstheme="majorBidi"/>
          <w:i/>
          <w:noProof/>
        </w:rPr>
        <w:t>Karja I (Pendidikan),</w:t>
      </w:r>
      <w:r w:rsidRPr="002F10DC">
        <w:rPr>
          <w:rFonts w:asciiTheme="majorBidi" w:hAnsiTheme="majorBidi" w:cstheme="majorBidi"/>
          <w:noProof/>
        </w:rPr>
        <w:t xml:space="preserve"> (Yogyakarta: Majelis Luhur Taman Siswa, 1965).</w:t>
      </w:r>
      <w:r w:rsidRPr="002F10DC">
        <w:rPr>
          <w:rFonts w:asciiTheme="majorBidi" w:hAnsiTheme="majorBidi" w:cstheme="majorBidi"/>
        </w:rPr>
        <w:fldChar w:fldCharType="end"/>
      </w:r>
      <w:r w:rsidRPr="002F10DC">
        <w:rPr>
          <w:rFonts w:asciiTheme="majorBidi" w:hAnsiTheme="majorBidi" w:cstheme="majorBidi"/>
        </w:rPr>
        <w:t xml:space="preserve"> h. 14</w:t>
      </w:r>
    </w:p>
  </w:footnote>
  <w:footnote w:id="11">
    <w:p w:rsidR="00717C28" w:rsidRPr="002F10DC" w:rsidRDefault="00717C28"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053856" w:rsidRPr="002F10DC">
        <w:rPr>
          <w:rFonts w:asciiTheme="majorBidi" w:hAnsiTheme="majorBidi" w:cstheme="majorBidi"/>
        </w:rPr>
        <w:instrText>ADDIN CSL_CITATION {"citationItems":[{"id":"ITEM-1","itemData":{"author":[{"dropping-particle":"","family":"Darmaningtyas","given":"dkk","non-dropping-particle":"","parse-names":false,"suffix":""}],"id":"ITEM-1","issued":{"date-parts":[["2014"]]},"publisher":"Resolusi Press","publisher-place":"Yogyakarta","title":"Membongkar Ideologi Pendidikan, Jelajah Undang-undang Sistem Pendidikan Nasional","type":"book"},"uris":["http://www.mendeley.com/documents/?uuid=c233d2e3-dd81-4058-af8a-1d62eb5e33b1"]}],"mendeley":{"formattedCitation":"dkk Darmaningtyas, &lt;i&gt;Membongkar Ideologi Pendidikan, Jelajah Undang-Undang Sistem Pendidikan Nasional&lt;/i&gt; (Yogyakarta: Resolusi Press, 2014).","manualFormatting":"Darmaningtyas, dkk, Membongkar Ideologi Pendidikan, Jelajah Undang-Undang Sistem Pendidikan Nasional (Yogyakarta: Resolusi Press, 2014).","plainTextFormattedCitation":"dkk Darmaningtyas, Membongkar Ideologi Pendidikan, Jelajah Undang-Undang Sistem Pendidikan Nasional (Yogyakarta: Resolusi Press, 2014).","previouslyFormattedCitation":"dkk Darmaningtyas, &lt;i&gt;Membongkar Ideologi Pendidikan, Jelajah Undang-Undang Sistem Pendidikan Nasional&lt;/i&gt; (Yogyakarta: Resolusi Press, 2014)."},"properties":{"noteIndex":11},"schema":"https://github.com/citation-style-language/schema/raw/master/csl-citation.json"}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 xml:space="preserve">Darmaningtyas, dkk, </w:t>
      </w:r>
      <w:r w:rsidRPr="002F10DC">
        <w:rPr>
          <w:rFonts w:asciiTheme="majorBidi" w:hAnsiTheme="majorBidi" w:cstheme="majorBidi"/>
          <w:i/>
          <w:noProof/>
        </w:rPr>
        <w:t>Membongkar Ideologi Pendidikan, Jelajah Undang-Undang Sistem Pendidikan Nasional</w:t>
      </w:r>
      <w:r w:rsidRPr="002F10DC">
        <w:rPr>
          <w:rFonts w:asciiTheme="majorBidi" w:hAnsiTheme="majorBidi" w:cstheme="majorBidi"/>
          <w:noProof/>
        </w:rPr>
        <w:t xml:space="preserve"> (Yogyakarta: Resolusi Press, 2014).</w:t>
      </w:r>
      <w:r w:rsidRPr="002F10DC">
        <w:rPr>
          <w:rFonts w:asciiTheme="majorBidi" w:hAnsiTheme="majorBidi" w:cstheme="majorBidi"/>
        </w:rPr>
        <w:fldChar w:fldCharType="end"/>
      </w:r>
      <w:r w:rsidRPr="002F10DC">
        <w:rPr>
          <w:rFonts w:asciiTheme="majorBidi" w:hAnsiTheme="majorBidi" w:cstheme="majorBidi"/>
        </w:rPr>
        <w:t xml:space="preserve"> h. 235</w:t>
      </w:r>
    </w:p>
  </w:footnote>
  <w:footnote w:id="12">
    <w:p w:rsidR="00053856" w:rsidRPr="002F10DC" w:rsidRDefault="00053856"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AB2870" w:rsidRPr="002F10DC">
        <w:rPr>
          <w:rFonts w:asciiTheme="majorBidi" w:hAnsiTheme="majorBidi" w:cstheme="majorBidi"/>
        </w:rPr>
        <w:instrText>ADDIN CSL_CITATION {"citationItems":[{"id":"ITEM-1","itemData":{"author":[{"dropping-particle":"","family":"al-Raghib al-Asfihani","given":"","non-dropping-particle":"","parse-names":false,"suffix":""}],"id":"ITEM-1","issued":{"date-parts":[["1996"]]},"publisher":"Dar Kutub al-Ilmiah","publisher-place":"Beirut","title":"al-Mufradat li al-Fadh al-Qur’an","type":"book"},"uris":["http://www.mendeley.com/documents/?uuid=16f37597-11c2-4c88-85a2-d6cc582f8d33"]}],"mendeley":{"formattedCitation":"al-Raghib al-Asfihani, &lt;i&gt;Al-Mufradat Li Al-Fadh Al-Qur’an&lt;/i&gt; (Beirut: Dar Kutub al-Ilmiah, 1996).","plainTextFormattedCitation":"al-Raghib al-Asfihani, Al-Mufradat Li Al-Fadh Al-Qur’an (Beirut: Dar Kutub al-Ilmiah, 1996).","previouslyFormattedCitation":"al-Raghib al-Asfihani, &lt;i&gt;Al-Mufradat Li Al-Fadh Al-Qur’an&lt;/i&gt; (Beirut: Dar Kutub al-Ilmiah, 1996)."},"properties":{"noteIndex":12},"schema":"https://github.com/citation-style-language/schema/raw/master/csl-citation.json"}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 xml:space="preserve">al-Raghib al-Asfihani, </w:t>
      </w:r>
      <w:r w:rsidRPr="002F10DC">
        <w:rPr>
          <w:rFonts w:asciiTheme="majorBidi" w:hAnsiTheme="majorBidi" w:cstheme="majorBidi"/>
          <w:i/>
          <w:noProof/>
        </w:rPr>
        <w:t>Al-Mufradat Li Al-Fadh Al-Qur’an</w:t>
      </w:r>
      <w:r w:rsidRPr="002F10DC">
        <w:rPr>
          <w:rFonts w:asciiTheme="majorBidi" w:hAnsiTheme="majorBidi" w:cstheme="majorBidi"/>
          <w:noProof/>
        </w:rPr>
        <w:t xml:space="preserve"> (Beirut: Dar Kutub al-Ilmiah, 1996).</w:t>
      </w:r>
      <w:r w:rsidRPr="002F10DC">
        <w:rPr>
          <w:rFonts w:asciiTheme="majorBidi" w:hAnsiTheme="majorBidi" w:cstheme="majorBidi"/>
        </w:rPr>
        <w:fldChar w:fldCharType="end"/>
      </w:r>
      <w:r w:rsidRPr="002F10DC">
        <w:rPr>
          <w:rFonts w:asciiTheme="majorBidi" w:hAnsiTheme="majorBidi" w:cstheme="majorBidi"/>
        </w:rPr>
        <w:t xml:space="preserve"> h. 336</w:t>
      </w:r>
    </w:p>
  </w:footnote>
  <w:footnote w:id="13">
    <w:p w:rsidR="00AB2870" w:rsidRPr="002F10DC" w:rsidRDefault="00AB2870"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D43678" w:rsidRPr="002F10DC">
        <w:rPr>
          <w:rFonts w:asciiTheme="majorBidi" w:hAnsiTheme="majorBidi" w:cstheme="majorBidi"/>
        </w:rPr>
        <w:instrText>ADDIN CSL_CITATION {"citationItems":[{"id":"ITEM-1","itemData":{"author":[{"dropping-particle":"","family":"al-Raghib al-Asfihani","given":"","non-dropping-particle":"","parse-names":false,"suffix":""}],"id":"ITEM-1","issued":{"date-parts":[["1996"]]},"publisher":"Dar Kutub al-Ilmiah","publisher-place":"Beirut","title":"al-Mufradat li al-Fadh al-Qur’an","type":"book"},"uris":["http://www.mendeley.com/documents/?uuid=16f37597-11c2-4c88-85a2-d6cc582f8d33"]}],"mendeley":{"formattedCitation":"al-Raghib al-Asfihani, &lt;i&gt;Al-Mufradat Li Al-Fadh Al-Qur’an&lt;/i&gt;.","plainTextFormattedCitation":"al-Raghib al-Asfihani, Al-Mufradat Li Al-Fadh Al-Qur’an.","previouslyFormattedCitation":"al-Raghib al-Asfihani, &lt;i&gt;Al-Mufradat Li Al-Fadh Al-Qur’an&lt;/i&gt;."},"properties":{"noteIndex":13},"schema":"https://github.com/citation-style-language/schema/raw/master/csl-citation.json"}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 xml:space="preserve">al-Raghib al-Asfihani, </w:t>
      </w:r>
      <w:r w:rsidRPr="002F10DC">
        <w:rPr>
          <w:rFonts w:asciiTheme="majorBidi" w:hAnsiTheme="majorBidi" w:cstheme="majorBidi"/>
          <w:i/>
          <w:noProof/>
        </w:rPr>
        <w:t>Al-Mufradat Li Al-Fadh Al-Qur’an</w:t>
      </w:r>
      <w:r w:rsidRPr="002F10DC">
        <w:rPr>
          <w:rFonts w:asciiTheme="majorBidi" w:hAnsiTheme="majorBidi" w:cstheme="majorBidi"/>
          <w:noProof/>
        </w:rPr>
        <w:t>.</w:t>
      </w:r>
      <w:r w:rsidRPr="002F10DC">
        <w:rPr>
          <w:rFonts w:asciiTheme="majorBidi" w:hAnsiTheme="majorBidi" w:cstheme="majorBidi"/>
        </w:rPr>
        <w:fldChar w:fldCharType="end"/>
      </w:r>
      <w:r w:rsidRPr="002F10DC">
        <w:rPr>
          <w:rFonts w:asciiTheme="majorBidi" w:hAnsiTheme="majorBidi" w:cstheme="majorBidi"/>
        </w:rPr>
        <w:t xml:space="preserve"> h. 35</w:t>
      </w:r>
    </w:p>
  </w:footnote>
  <w:footnote w:id="14">
    <w:p w:rsidR="00D43678" w:rsidRPr="002F10DC" w:rsidRDefault="00D43678"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FF7234" w:rsidRPr="002F10DC">
        <w:rPr>
          <w:rFonts w:asciiTheme="majorBidi" w:hAnsiTheme="majorBidi" w:cstheme="majorBidi"/>
        </w:rPr>
        <w:instrText>ADDIN CSL_CITATION {"citationItems":[{"id":"ITEM-1","itemData":{"author":[{"dropping-particle":"","family":"Rudge”","given":"Lucita T.","non-dropping-particle":"","parse-names":false,"suffix":""}],"id":"ITEM-1","issued":{"date-parts":[["2008"]]},"publisher":"The Ohio State University","title":"Holistic Education: An Analysis of Its Pedagogical Aplication","type":"thesis"},"uris":["http://www.mendeley.com/documents/?uuid=4b342e69-e0a1-40af-9134-4aeab24a7d72"]}],"mendeley":{"formattedCitation":"Rudge”, “Holistic Education: An Analysis of Its Pedagogical Aplication.”","plainTextFormattedCitation":"Rudge”, “Holistic Education: An Analysis of Its Pedagogical Aplication.”","previouslyFormattedCitation":"Rudge”, “Holistic Education: An Analysis of Its Pedagogical Aplication.”"},"properties":{"noteIndex":14},"schema":"https://github.com/citation-style-language/schema/raw/master/csl-citation.json"}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Rudge”, “Holistic Education: An Analysis of Its Pedagogical Aplication.”</w:t>
      </w:r>
      <w:r w:rsidRPr="002F10DC">
        <w:rPr>
          <w:rFonts w:asciiTheme="majorBidi" w:hAnsiTheme="majorBidi" w:cstheme="majorBidi"/>
        </w:rPr>
        <w:fldChar w:fldCharType="end"/>
      </w:r>
      <w:r w:rsidRPr="002F10DC">
        <w:rPr>
          <w:rFonts w:asciiTheme="majorBidi" w:hAnsiTheme="majorBidi" w:cstheme="majorBidi"/>
        </w:rPr>
        <w:t xml:space="preserve"> h. 13</w:t>
      </w:r>
    </w:p>
  </w:footnote>
  <w:footnote w:id="15">
    <w:p w:rsidR="00FF7234" w:rsidRPr="002F10DC" w:rsidRDefault="00FF7234"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40521C" w:rsidRPr="002F10DC">
        <w:rPr>
          <w:rFonts w:asciiTheme="majorBidi" w:hAnsiTheme="majorBidi" w:cstheme="majorBidi"/>
        </w:rPr>
        <w:instrText>ADDIN CSL_CITATION {"citationItems":[{"id":"ITEM-1","itemData":{"author":[{"dropping-particle":"","family":"Muhammad Athiyyah al-Abrasyi","given":"","non-dropping-particle":"","parse-names":false,"suffix":""}],"id":"ITEM-1","issued":{"date-parts":[["1964"]]},"publisher":"Maktabah al-Anjalu al-Mishriyyah","publisher-place":"Mesir","title":"Ruh al-Islam","type":"book"},"uris":["http://www.mendeley.com/documents/?uuid=99a4dd8d-5b18-4bd8-aa39-53200f7f4a40"]}],"mendeley":{"formattedCitation":"Muhammad Athiyyah al-Abrasyi, &lt;i&gt;Ruh Al-Islam&lt;/i&gt; (Mesir: Maktabah al-Anjalu al-Mishriyyah, 1964).","plainTextFormattedCitation":"Muhammad Athiyyah al-Abrasyi, Ruh Al-Islam (Mesir: Maktabah al-Anjalu al-Mishriyyah, 1964).","previouslyFormattedCitation":"Muhammad Athiyyah al-Abrasyi, &lt;i&gt;Ruh Al-Islam&lt;/i&gt; (Mesir: Maktabah al-Anjalu al-Mishriyyah, 1964)."},"properties":{"noteIndex":15},"schema":"https://github.com/citation-style-language/schema/raw/master/csl-citation.json"}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 xml:space="preserve">Muhammad Athiyyah al-Abrasyi, </w:t>
      </w:r>
      <w:r w:rsidRPr="002F10DC">
        <w:rPr>
          <w:rFonts w:asciiTheme="majorBidi" w:hAnsiTheme="majorBidi" w:cstheme="majorBidi"/>
          <w:i/>
          <w:noProof/>
        </w:rPr>
        <w:t>Ruh Al-Islam</w:t>
      </w:r>
      <w:r w:rsidRPr="002F10DC">
        <w:rPr>
          <w:rFonts w:asciiTheme="majorBidi" w:hAnsiTheme="majorBidi" w:cstheme="majorBidi"/>
          <w:noProof/>
        </w:rPr>
        <w:t xml:space="preserve"> (Mesir: Maktabah al-Anjalu al-Mishriyyah, 1964).</w:t>
      </w:r>
      <w:r w:rsidRPr="002F10DC">
        <w:rPr>
          <w:rFonts w:asciiTheme="majorBidi" w:hAnsiTheme="majorBidi" w:cstheme="majorBidi"/>
        </w:rPr>
        <w:fldChar w:fldCharType="end"/>
      </w:r>
      <w:r w:rsidRPr="002F10DC">
        <w:rPr>
          <w:rFonts w:asciiTheme="majorBidi" w:hAnsiTheme="majorBidi" w:cstheme="majorBidi"/>
        </w:rPr>
        <w:t xml:space="preserve"> h. 36</w:t>
      </w:r>
    </w:p>
  </w:footnote>
  <w:footnote w:id="16">
    <w:p w:rsidR="0040521C" w:rsidRPr="002F10DC" w:rsidRDefault="0040521C"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673B05" w:rsidRPr="002F10DC">
        <w:rPr>
          <w:rFonts w:asciiTheme="majorBidi" w:hAnsiTheme="majorBidi" w:cstheme="majorBidi"/>
        </w:rPr>
        <w:instrText>ADDIN CSL_CITATION {"citationItems":[{"id":"ITEM-1","itemData":{"author":[{"dropping-particle":"","family":"Muhammad Athiyyah al-Abrasyi","given":"","non-dropping-particle":"","parse-names":false,"suffix":""}],"id":"ITEM-1","issued":{"date-parts":[["1964"]]},"publisher":"Maktabah al-Anjalu al-Mishriyyah","publisher-place":"Mesir","title":"Ruh al-Islam","type":"book"},"uris":["http://www.mendeley.com/documents/?uuid=99a4dd8d-5b18-4bd8-aa39-53200f7f4a40"]}],"mendeley":{"formattedCitation":"Muhammad Athiyyah al-Abrasyi, &lt;i&gt;Ruh Al-Islam&lt;/i&gt;.","plainTextFormattedCitation":"Muhammad Athiyyah al-Abrasyi, Ruh Al-Islam.","previouslyFormattedCitation":"Muhammad Athiyyah al-Abrasyi, &lt;i&gt;Ruh Al-Islam&lt;/i&gt;."},"properties":{"noteIndex":16},"schema":"https://github.com/citation-style-language/schema/raw/master/csl-citation.json"}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 xml:space="preserve">Muhammad Athiyyah al-Abrasyi, </w:t>
      </w:r>
      <w:r w:rsidRPr="002F10DC">
        <w:rPr>
          <w:rFonts w:asciiTheme="majorBidi" w:hAnsiTheme="majorBidi" w:cstheme="majorBidi"/>
          <w:i/>
          <w:noProof/>
        </w:rPr>
        <w:t>Ruh Al-Islam</w:t>
      </w:r>
      <w:r w:rsidRPr="002F10DC">
        <w:rPr>
          <w:rFonts w:asciiTheme="majorBidi" w:hAnsiTheme="majorBidi" w:cstheme="majorBidi"/>
          <w:noProof/>
        </w:rPr>
        <w:t>.</w:t>
      </w:r>
      <w:r w:rsidRPr="002F10DC">
        <w:rPr>
          <w:rFonts w:asciiTheme="majorBidi" w:hAnsiTheme="majorBidi" w:cstheme="majorBidi"/>
        </w:rPr>
        <w:fldChar w:fldCharType="end"/>
      </w:r>
      <w:r w:rsidRPr="002F10DC">
        <w:rPr>
          <w:rFonts w:asciiTheme="majorBidi" w:hAnsiTheme="majorBidi" w:cstheme="majorBidi"/>
        </w:rPr>
        <w:t xml:space="preserve"> h. 284</w:t>
      </w:r>
    </w:p>
  </w:footnote>
  <w:footnote w:id="17">
    <w:p w:rsidR="00673B05" w:rsidRPr="002F10DC" w:rsidRDefault="00673B05"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E970D4" w:rsidRPr="002F10DC">
        <w:rPr>
          <w:rFonts w:asciiTheme="majorBidi" w:hAnsiTheme="majorBidi" w:cstheme="majorBidi"/>
        </w:rPr>
        <w:instrText>ADDIN CSL_CITATION {"citationItems":[{"id":"ITEM-1","itemData":{"author":[{"dropping-particle":"","family":"Herry Widyastono","given":"","non-dropping-particle":"","parse-names":false,"suffix":""}],"container-title":"Jurnal Pendidikan dan Kebudayaan","id":"ITEM-1","issue":"4","issued":{"date-parts":[["2012"]]},"title":"Holistic Education In The Curriculum Of The Basic And Secondary Education","type":"article-journal","volume":"18"},"uris":["http://www.mendeley.com/documents/?uuid=c60d24d3-559a-4a10-bec8-9c7ffea9de41"]}],"mendeley":{"formattedCitation":"Herry Widyastono, “Holistic Education In The Curriculum Of The Basic And Secondary Education,” &lt;i&gt;Jurnal Pendidikan dan Kebudayaan&lt;/i&gt; 18, no. 4 (2012).","plainTextFormattedCitation":"Herry Widyastono, “Holistic Education In The Curriculum Of The Basic And Secondary Education,” Jurnal Pendidikan dan Kebudayaan 18, no. 4 (2012).","previouslyFormattedCitation":"Herry Widyastono, “Holistic Education In The Curriculum Of The Basic And Secondary Education,” &lt;i&gt;Jurnal Pendidikan dan Kebudayaan&lt;/i&gt; 18, no. 4 (2012)."},"properties":{"noteIndex":17},"schema":"https://github.com/citation-style-language/schema/raw/master/csl-citation.json"}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 xml:space="preserve">Herry Widyastono, “Holistic Education In The Curriculum Of The Basic And Secondary Education,” </w:t>
      </w:r>
      <w:r w:rsidRPr="002F10DC">
        <w:rPr>
          <w:rFonts w:asciiTheme="majorBidi" w:hAnsiTheme="majorBidi" w:cstheme="majorBidi"/>
          <w:i/>
          <w:noProof/>
        </w:rPr>
        <w:t>Jurnal Pendidikan dan Kebudayaan</w:t>
      </w:r>
      <w:r w:rsidRPr="002F10DC">
        <w:rPr>
          <w:rFonts w:asciiTheme="majorBidi" w:hAnsiTheme="majorBidi" w:cstheme="majorBidi"/>
          <w:noProof/>
        </w:rPr>
        <w:t xml:space="preserve"> 18, no. 4 (2012).</w:t>
      </w:r>
      <w:r w:rsidRPr="002F10DC">
        <w:rPr>
          <w:rFonts w:asciiTheme="majorBidi" w:hAnsiTheme="majorBidi" w:cstheme="majorBidi"/>
        </w:rPr>
        <w:fldChar w:fldCharType="end"/>
      </w:r>
      <w:r w:rsidRPr="002F10DC">
        <w:rPr>
          <w:rFonts w:asciiTheme="majorBidi" w:hAnsiTheme="majorBidi" w:cstheme="majorBidi"/>
        </w:rPr>
        <w:t xml:space="preserve"> h. 469</w:t>
      </w:r>
    </w:p>
  </w:footnote>
  <w:footnote w:id="18">
    <w:p w:rsidR="00E970D4" w:rsidRPr="002F10DC" w:rsidRDefault="00E970D4"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D36F2B" w:rsidRPr="002F10DC">
        <w:rPr>
          <w:rFonts w:asciiTheme="majorBidi" w:hAnsiTheme="majorBidi" w:cstheme="majorBidi"/>
        </w:rPr>
        <w:instrText>ADDIN CSL_CITATION {"citationItems":[{"id":"ITEM-1","itemData":{"author":[{"dropping-particle":"","family":"Herry Widyastono","given":"","non-dropping-particle":"","parse-names":false,"suffix":""}],"container-title":"Jurnal Pendidikan dan Kebudayaan","id":"ITEM-1","issue":"4","issued":{"date-parts":[["2012"]]},"title":"Holistic Education In The Curriculum Of The Basic And Secondary Education","type":"article-journal","volume":"18"},"uris":["http://www.mendeley.com/documents/?uuid=c60d24d3-559a-4a10-bec8-9c7ffea9de41"]}],"mendeley":{"formattedCitation":"Herry Widyastono, “Holistic Education In The Curriculum Of The Basic And Secondary Education.”","plainTextFormattedCitation":"Herry Widyastono, “Holistic Education In The Curriculum Of The Basic And Secondary Education.”","previouslyFormattedCitation":"Herry Widyastono, “Holistic Education In The Curriculum Of The Basic And Secondary Education.”"},"properties":{"noteIndex":18},"schema":"https://github.com/citation-style-language/schema/raw/master/csl-citation.json"}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Herry Widyastono, “Holistic Education In The Curriculum Of The Basic And Secondary Education.”</w:t>
      </w:r>
      <w:r w:rsidRPr="002F10DC">
        <w:rPr>
          <w:rFonts w:asciiTheme="majorBidi" w:hAnsiTheme="majorBidi" w:cstheme="majorBidi"/>
        </w:rPr>
        <w:fldChar w:fldCharType="end"/>
      </w:r>
      <w:r w:rsidRPr="002F10DC">
        <w:rPr>
          <w:rFonts w:asciiTheme="majorBidi" w:hAnsiTheme="majorBidi" w:cstheme="majorBidi"/>
        </w:rPr>
        <w:t xml:space="preserve"> h. 470</w:t>
      </w:r>
    </w:p>
  </w:footnote>
  <w:footnote w:id="19">
    <w:p w:rsidR="00D36F2B" w:rsidRPr="002F10DC" w:rsidRDefault="00D36F2B" w:rsidP="002F10DC">
      <w:pPr>
        <w:pStyle w:val="FootnoteText"/>
        <w:jc w:val="both"/>
        <w:rPr>
          <w:rFonts w:asciiTheme="majorBidi" w:hAnsiTheme="majorBidi" w:cstheme="majorBidi"/>
        </w:rPr>
      </w:pPr>
      <w:r w:rsidRPr="002F10DC">
        <w:rPr>
          <w:rFonts w:asciiTheme="majorBidi" w:hAnsiTheme="majorBidi" w:cstheme="majorBidi"/>
        </w:rPr>
        <w:tab/>
      </w:r>
      <w:r w:rsidRPr="002F10DC">
        <w:rPr>
          <w:rStyle w:val="FootnoteReference"/>
          <w:rFonts w:asciiTheme="majorBidi" w:hAnsiTheme="majorBidi" w:cstheme="majorBidi"/>
        </w:rPr>
        <w:footnoteRef/>
      </w:r>
      <w:r w:rsidRPr="002F10DC">
        <w:rPr>
          <w:rFonts w:asciiTheme="majorBidi" w:hAnsiTheme="majorBidi" w:cstheme="majorBidi"/>
        </w:rPr>
        <w:t xml:space="preserve"> </w:t>
      </w:r>
      <w:r w:rsidRPr="002F10DC">
        <w:rPr>
          <w:rFonts w:asciiTheme="majorBidi" w:hAnsiTheme="majorBidi" w:cstheme="majorBidi"/>
        </w:rPr>
        <w:fldChar w:fldCharType="begin" w:fldLock="1"/>
      </w:r>
      <w:r w:rsidR="00200C0C">
        <w:rPr>
          <w:rFonts w:asciiTheme="majorBidi" w:hAnsiTheme="majorBidi" w:cstheme="majorBidi"/>
        </w:rPr>
        <w:instrText>ADDIN CSL_CITATION {"citationItems":[{"id":"ITEM-1","itemData":{"author":[{"dropping-particle":"","family":"Arfan Muammar","given":"dkk","non-dropping-particle":"","parse-names":false,"suffix":""}],"id":"ITEM-1","issued":{"date-parts":[["2012"]]},"publisher":"IKAPI","publisher-place":"Yogyakarta","title":"Studi Islam: Perspektif Insider/outsider","type":"book"},"uris":["http://www.mendeley.com/documents/?uuid=6f2eea80-fad3-4ebc-8725-822660a78786"]}],"mendeley":{"formattedCitation":"dkk Arfan Muammar, &lt;i&gt;Studi Islam: Perspektif Insider/Outsider&lt;/i&gt; (Yogyakarta: IKAPI, 2012).","manualFormatting":"Arfan Muammar, dkk, Studi Islam: Perspektif Insider/Outsider (Yogyakarta: IKAPI, 2012).","plainTextFormattedCitation":"dkk Arfan Muammar, Studi Islam: Perspektif Insider/Outsider (Yogyakarta: IKAPI, 2012).","previouslyFormattedCitation":"dkk Arfan Muammar, &lt;i&gt;Studi Islam: Perspektif Insider/Outsider&lt;/i&gt; (Yogyakarta: IKAPI, 2012)."},"properties":{"noteIndex":19},"schema":"https://github.com/citation-style-language/schema/raw/master/csl-citation.json"}</w:instrText>
      </w:r>
      <w:r w:rsidRPr="002F10DC">
        <w:rPr>
          <w:rFonts w:asciiTheme="majorBidi" w:hAnsiTheme="majorBidi" w:cstheme="majorBidi"/>
        </w:rPr>
        <w:fldChar w:fldCharType="separate"/>
      </w:r>
      <w:r w:rsidRPr="002F10DC">
        <w:rPr>
          <w:rFonts w:asciiTheme="majorBidi" w:hAnsiTheme="majorBidi" w:cstheme="majorBidi"/>
          <w:noProof/>
        </w:rPr>
        <w:t xml:space="preserve">Arfan Muammar, dkk, </w:t>
      </w:r>
      <w:r w:rsidRPr="002F10DC">
        <w:rPr>
          <w:rFonts w:asciiTheme="majorBidi" w:hAnsiTheme="majorBidi" w:cstheme="majorBidi"/>
          <w:i/>
          <w:noProof/>
        </w:rPr>
        <w:t>Studi Islam: Perspektif Insider/Outsider</w:t>
      </w:r>
      <w:r w:rsidRPr="002F10DC">
        <w:rPr>
          <w:rFonts w:asciiTheme="majorBidi" w:hAnsiTheme="majorBidi" w:cstheme="majorBidi"/>
          <w:noProof/>
        </w:rPr>
        <w:t xml:space="preserve"> (Yogyakarta: IKAPI, 2012).</w:t>
      </w:r>
      <w:r w:rsidRPr="002F10DC">
        <w:rPr>
          <w:rFonts w:asciiTheme="majorBidi" w:hAnsiTheme="majorBidi" w:cstheme="majorBidi"/>
        </w:rPr>
        <w:fldChar w:fldCharType="end"/>
      </w:r>
      <w:r w:rsidRPr="002F10DC">
        <w:rPr>
          <w:rFonts w:asciiTheme="majorBidi" w:hAnsiTheme="majorBidi" w:cstheme="majorBidi"/>
        </w:rPr>
        <w:t xml:space="preserve"> h. 390</w:t>
      </w:r>
    </w:p>
  </w:footnote>
  <w:footnote w:id="20">
    <w:p w:rsidR="00200C0C" w:rsidRDefault="00200C0C" w:rsidP="00631307">
      <w:pPr>
        <w:pStyle w:val="FootnoteText"/>
        <w:jc w:val="both"/>
      </w:pPr>
      <w:r>
        <w:tab/>
      </w:r>
      <w:r>
        <w:rPr>
          <w:rStyle w:val="FootnoteReference"/>
        </w:rPr>
        <w:footnoteRef/>
      </w:r>
      <w:r>
        <w:t xml:space="preserve"> </w:t>
      </w:r>
      <w:r>
        <w:fldChar w:fldCharType="begin" w:fldLock="1"/>
      </w:r>
      <w:r w:rsidR="00F66268">
        <w:instrText>ADDIN CSL_CITATION {"citationItems":[{"id":"ITEM-1","itemData":{"author":[{"dropping-particle":"","family":"Jasser Auda","given":"","non-dropping-particle":"","parse-names":false,"suffix":""}],"id":"ITEM-1","issued":{"date-parts":[["2007"]]},"publisher":"The International Institute of Islamic Thought","publisher-place":"London","title":"Maqashid al-Syari'ah as Philosophy of Islamic Law A System Aproach","type":"book"},"uris":["http://www.mendeley.com/documents/?uuid=7f462916-83a3-4191-8091-937467734eda"]}],"mendeley":{"formattedCitation":"Jasser Auda, &lt;i&gt;Maqashid Al-Syari’ah as Philosophy of Islamic Law A System Aproach&lt;/i&gt; (London: The International Institute of Islamic Thought, 2007).","plainTextFormattedCitation":"Jasser Auda, Maqashid Al-Syari’ah as Philosophy of Islamic Law A System Aproach (London: The International Institute of Islamic Thought, 2007).","previouslyFormattedCitation":"Jasser Auda, &lt;i&gt;Maqashid Al-Syari’ah as Philosophy of Islamic Law A System Aproach&lt;/i&gt; (London: The International Institute of Islamic Thought, 2007)."},"properties":{"noteIndex":20},"schema":"https://github.com/citation-style-language/schema/raw/master/csl-citation.json"}</w:instrText>
      </w:r>
      <w:r>
        <w:fldChar w:fldCharType="separate"/>
      </w:r>
      <w:r w:rsidRPr="00200C0C">
        <w:rPr>
          <w:noProof/>
        </w:rPr>
        <w:t xml:space="preserve">Jasser Auda, </w:t>
      </w:r>
      <w:r w:rsidRPr="00200C0C">
        <w:rPr>
          <w:i/>
          <w:noProof/>
        </w:rPr>
        <w:t>Maqashid Al-Syari’ah as Philosophy of Islamic Law A System Aproach</w:t>
      </w:r>
      <w:r w:rsidRPr="00200C0C">
        <w:rPr>
          <w:noProof/>
        </w:rPr>
        <w:t xml:space="preserve"> (London: The International Institute of Islamic Thought, 2007).</w:t>
      </w:r>
      <w:r>
        <w:fldChar w:fldCharType="end"/>
      </w:r>
      <w:r>
        <w:t xml:space="preserve"> h. 1</w:t>
      </w:r>
    </w:p>
  </w:footnote>
  <w:footnote w:id="21">
    <w:p w:rsidR="00F66268" w:rsidRDefault="00F66268" w:rsidP="00F66268">
      <w:pPr>
        <w:pStyle w:val="FootnoteText"/>
      </w:pPr>
      <w:r>
        <w:tab/>
      </w:r>
      <w:r>
        <w:rPr>
          <w:rStyle w:val="FootnoteReference"/>
        </w:rPr>
        <w:footnoteRef/>
      </w:r>
      <w:r>
        <w:t xml:space="preserve"> </w:t>
      </w:r>
      <w:r>
        <w:fldChar w:fldCharType="begin" w:fldLock="1"/>
      </w:r>
      <w:r w:rsidR="002605E1">
        <w:instrText>ADDIN CSL_CITATION {"citationItems":[{"id":"ITEM-1","itemData":{"author":[{"dropping-particle":"","family":"Jasser Auda","given":"","non-dropping-particle":"","parse-names":false,"suffix":""}],"id":"ITEM-1","issued":{"date-parts":[["2007"]]},"publisher":"The International Institute of Islamic Thought","publisher-place":"London","title":"Maqashid al-Syari'ah as Philosophy of Islamic Law A System Aproach","type":"book"},"uris":["http://www.mendeley.com/documents/?uuid=7f462916-83a3-4191-8091-937467734eda"]}],"mendeley":{"formattedCitation":"Jasser Auda, &lt;i&gt;Maqashid Al-Syari’ah as Philosophy of Islamic Law A System Aproach&lt;/i&gt;.","plainTextFormattedCitation":"Jasser Auda, Maqashid Al-Syari’ah as Philosophy of Islamic Law A System Aproach.","previouslyFormattedCitation":"Jasser Auda, &lt;i&gt;Maqashid Al-Syari’ah as Philosophy of Islamic Law A System Aproach&lt;/i&gt;."},"properties":{"noteIndex":21},"schema":"https://github.com/citation-style-language/schema/raw/master/csl-citation.json"}</w:instrText>
      </w:r>
      <w:r>
        <w:fldChar w:fldCharType="separate"/>
      </w:r>
      <w:r w:rsidRPr="00F66268">
        <w:rPr>
          <w:noProof/>
        </w:rPr>
        <w:t xml:space="preserve">Jasser Auda, </w:t>
      </w:r>
      <w:r w:rsidRPr="00F66268">
        <w:rPr>
          <w:i/>
          <w:noProof/>
        </w:rPr>
        <w:t>Maqashid Al-Syari’ah as Philosophy of Islamic Law A System Aproach</w:t>
      </w:r>
      <w:r w:rsidRPr="00F66268">
        <w:rPr>
          <w:noProof/>
        </w:rPr>
        <w:t>.</w:t>
      </w:r>
      <w:r>
        <w:fldChar w:fldCharType="end"/>
      </w:r>
      <w:r>
        <w:t xml:space="preserve"> h. 4</w:t>
      </w:r>
    </w:p>
  </w:footnote>
  <w:footnote w:id="22">
    <w:p w:rsidR="002605E1" w:rsidRDefault="002605E1" w:rsidP="002605E1">
      <w:pPr>
        <w:pStyle w:val="FootnoteText"/>
      </w:pPr>
      <w:r>
        <w:tab/>
      </w:r>
      <w:r>
        <w:rPr>
          <w:rStyle w:val="FootnoteReference"/>
        </w:rPr>
        <w:footnoteRef/>
      </w:r>
      <w:r>
        <w:t xml:space="preserve"> </w:t>
      </w:r>
      <w:r>
        <w:fldChar w:fldCharType="begin" w:fldLock="1"/>
      </w:r>
      <w:r w:rsidR="00A85B4A">
        <w:instrText>ADDIN CSL_CITATION {"citationItems":[{"id":"ITEM-1","itemData":{"author":[{"dropping-particle":"","family":"Jasser Auda","given":"","non-dropping-particle":"","parse-names":false,"suffix":""}],"id":"ITEM-1","issued":{"date-parts":[["2007"]]},"publisher":"The International Institute of Islamic Thought","publisher-place":"London","title":"Maqashid al-Syari'ah as Philosophy of Islamic Law A System Aproach","type":"book"},"uris":["http://www.mendeley.com/documents/?uuid=7f462916-83a3-4191-8091-937467734eda"]}],"mendeley":{"formattedCitation":"Jasser Auda, &lt;i&gt;Maqashid Al-Syari’ah as Philosophy of Islamic Law A System Aproach&lt;/i&gt;.","plainTextFormattedCitation":"Jasser Auda, Maqashid Al-Syari’ah as Philosophy of Islamic Law A System Aproach.","previouslyFormattedCitation":"Jasser Auda, &lt;i&gt;Maqashid Al-Syari’ah as Philosophy of Islamic Law A System Aproach&lt;/i&gt;."},"properties":{"noteIndex":22},"schema":"https://github.com/citation-style-language/schema/raw/master/csl-citation.json"}</w:instrText>
      </w:r>
      <w:r>
        <w:fldChar w:fldCharType="separate"/>
      </w:r>
      <w:r w:rsidRPr="002605E1">
        <w:rPr>
          <w:noProof/>
        </w:rPr>
        <w:t xml:space="preserve">Jasser Auda, </w:t>
      </w:r>
      <w:r w:rsidRPr="002605E1">
        <w:rPr>
          <w:i/>
          <w:noProof/>
        </w:rPr>
        <w:t>Maqashid Al-Syari’ah as Philosophy of Islamic Law A System Aproach</w:t>
      </w:r>
      <w:r w:rsidRPr="002605E1">
        <w:rPr>
          <w:noProof/>
        </w:rPr>
        <w:t>.</w:t>
      </w:r>
      <w:r>
        <w:fldChar w:fldCharType="end"/>
      </w:r>
      <w:r>
        <w:t xml:space="preserve"> h.</w:t>
      </w:r>
      <w:r w:rsidR="00872D20">
        <w:t xml:space="preserve"> 26</w:t>
      </w:r>
      <w:r>
        <w:t xml:space="preserve"> </w:t>
      </w:r>
    </w:p>
  </w:footnote>
  <w:footnote w:id="23">
    <w:p w:rsidR="00A85B4A" w:rsidRDefault="00A85B4A" w:rsidP="00A85B4A">
      <w:pPr>
        <w:pStyle w:val="FootnoteText"/>
      </w:pPr>
      <w:r>
        <w:tab/>
      </w:r>
      <w:r>
        <w:rPr>
          <w:rStyle w:val="FootnoteReference"/>
        </w:rPr>
        <w:footnoteRef/>
      </w:r>
      <w:r>
        <w:t xml:space="preserve"> </w:t>
      </w:r>
      <w:r>
        <w:fldChar w:fldCharType="begin" w:fldLock="1"/>
      </w:r>
      <w:r w:rsidR="005D6F69">
        <w:instrText>ADDIN CSL_CITATION {"citationItems":[{"id":"ITEM-1","itemData":{"author":[{"dropping-particle":"","family":"Jasser Auda","given":"","non-dropping-particle":"","parse-names":false,"suffix":""}],"id":"ITEM-1","issued":{"date-parts":[["2007"]]},"publisher":"The International Institute of Islamic Thought","publisher-place":"London","title":"Maqashid al-Syari'ah as Philosophy of Islamic Law A System Aproach","type":"book"},"uris":["http://www.mendeley.com/documents/?uuid=7f462916-83a3-4191-8091-937467734eda"]}],"mendeley":{"formattedCitation":"Jasser Auda, &lt;i&gt;Maqashid Al-Syari’ah as Philosophy of Islamic Law A System Aproach&lt;/i&gt;.","plainTextFormattedCitation":"Jasser Auda, Maqashid Al-Syari’ah as Philosophy of Islamic Law A System Aproach.","previouslyFormattedCitation":"Jasser Auda, &lt;i&gt;Maqashid Al-Syari’ah as Philosophy of Islamic Law A System Aproach&lt;/i&gt;."},"properties":{"noteIndex":23},"schema":"https://github.com/citation-style-language/schema/raw/master/csl-citation.json"}</w:instrText>
      </w:r>
      <w:r>
        <w:fldChar w:fldCharType="separate"/>
      </w:r>
      <w:r w:rsidRPr="00A85B4A">
        <w:rPr>
          <w:noProof/>
        </w:rPr>
        <w:t xml:space="preserve">Jasser Auda, </w:t>
      </w:r>
      <w:r w:rsidRPr="00A85B4A">
        <w:rPr>
          <w:i/>
          <w:noProof/>
        </w:rPr>
        <w:t>Maqashid Al-Syari’ah as Philosophy of Islamic Law A System Aproach</w:t>
      </w:r>
      <w:r w:rsidRPr="00A85B4A">
        <w:rPr>
          <w:noProof/>
        </w:rPr>
        <w:t>.</w:t>
      </w:r>
      <w:r>
        <w:fldChar w:fldCharType="end"/>
      </w:r>
      <w:r>
        <w:t xml:space="preserve"> h. 50</w:t>
      </w:r>
    </w:p>
  </w:footnote>
  <w:footnote w:id="24">
    <w:p w:rsidR="005D6F69" w:rsidRDefault="005D6F69" w:rsidP="005D6F69">
      <w:pPr>
        <w:pStyle w:val="FootnoteText"/>
      </w:pPr>
      <w:r>
        <w:tab/>
      </w:r>
      <w:r>
        <w:rPr>
          <w:rStyle w:val="FootnoteReference"/>
        </w:rPr>
        <w:footnoteRef/>
      </w:r>
      <w:r>
        <w:t xml:space="preserve"> </w:t>
      </w:r>
      <w:r>
        <w:fldChar w:fldCharType="begin" w:fldLock="1"/>
      </w:r>
      <w:r w:rsidR="00CF7574">
        <w:instrText>ADDIN CSL_CITATION {"citationItems":[{"id":"ITEM-1","itemData":{"author":[{"dropping-particle":"","family":"Hamka","given":"","non-dropping-particle":"","parse-names":false,"suffix":""}],"id":"ITEM-1","issued":{"date-parts":[["2015"]]},"publisher":"Gema Insani Press","publisher-place":"Jakarta","title":"Tafsir Al-Azhar: Diperkaya dengan Pendekatan Sejarah, Sosiologi, Tasawuf, Ilmu Kalam, Sastra dan Psikologi","type":"book"},"uris":["http://www.mendeley.com/documents/?uuid=8d466ea6-15c6-4a6b-9249-9b7dad57b33c"]}],"mendeley":{"formattedCitation":"Hamka, &lt;i&gt;Tafsir Al-Azhar: Diperkaya Dengan Pendekatan Sejarah, Sosiologi, Tasawuf, Ilmu Kalam, Sastra Dan Psikologi&lt;/i&gt; (Jakarta: Gema Insani Press, 2015).","plainTextFormattedCitation":"Hamka, Tafsir Al-Azhar: Diperkaya Dengan Pendekatan Sejarah, Sosiologi, Tasawuf, Ilmu Kalam, Sastra Dan Psikologi (Jakarta: Gema Insani Press, 2015).","previouslyFormattedCitation":"Hamka, &lt;i&gt;Tafsir Al-Azhar: Diperkaya Dengan Pendekatan Sejarah, Sosiologi, Tasawuf, Ilmu Kalam, Sastra Dan Psikologi&lt;/i&gt; (Jakarta: Gema Insani Press, 2015)."},"properties":{"noteIndex":24},"schema":"https://github.com/citation-style-language/schema/raw/master/csl-citation.json"}</w:instrText>
      </w:r>
      <w:r>
        <w:fldChar w:fldCharType="separate"/>
      </w:r>
      <w:r w:rsidRPr="005D6F69">
        <w:rPr>
          <w:noProof/>
        </w:rPr>
        <w:t xml:space="preserve">Hamka, </w:t>
      </w:r>
      <w:r w:rsidRPr="005D6F69">
        <w:rPr>
          <w:i/>
          <w:noProof/>
        </w:rPr>
        <w:t>Tafsir Al-Azhar: Diperkaya Dengan Pendekatan Sejarah, Sosiologi, Tasawuf, Ilmu Kalam, Sastra Dan Psikologi</w:t>
      </w:r>
      <w:r w:rsidRPr="005D6F69">
        <w:rPr>
          <w:noProof/>
        </w:rPr>
        <w:t xml:space="preserve"> (Jakarta: Gema Insani Press, 2015).</w:t>
      </w:r>
      <w:r>
        <w:fldChar w:fldCharType="end"/>
      </w:r>
      <w:r>
        <w:t xml:space="preserve"> Jilid 1, h. 127</w:t>
      </w:r>
    </w:p>
  </w:footnote>
  <w:footnote w:id="25">
    <w:p w:rsidR="00CF7574" w:rsidRDefault="00CF7574" w:rsidP="00CF7574">
      <w:pPr>
        <w:pStyle w:val="FootnoteText"/>
      </w:pPr>
      <w:r>
        <w:tab/>
      </w:r>
      <w:r>
        <w:rPr>
          <w:rStyle w:val="FootnoteReference"/>
        </w:rPr>
        <w:footnoteRef/>
      </w:r>
      <w:r>
        <w:t xml:space="preserve"> </w:t>
      </w:r>
      <w:r>
        <w:fldChar w:fldCharType="begin" w:fldLock="1"/>
      </w:r>
      <w:r w:rsidR="00F25E83">
        <w:instrText>ADDIN CSL_CITATION {"citationItems":[{"id":"ITEM-1","itemData":{"author":[{"dropping-particle":"","family":"Muhammad Abduh","given":"","non-dropping-particle":"","parse-names":false,"suffix":""}],"id":"ITEM-1","issued":{"date-parts":[["1947"]]},"publisher":"Dar al-Mannar","publisher-place":"Mesir","title":"Tafsir al-Qur'an al-Karim","type":"book"},"uris":["http://www.mendeley.com/documents/?uuid=b88de0ea-6cb6-45ab-8686-a16eb211ebd8"]}],"mendeley":{"formattedCitation":"Muhammad Abduh, &lt;i&gt;Tafsir Al-Qur’an Al-Karim&lt;/i&gt; (Mesir: Dar al-Mannar, 1947).","plainTextFormattedCitation":"Muhammad Abduh, Tafsir Al-Qur’an Al-Karim (Mesir: Dar al-Mannar, 1947).","previouslyFormattedCitation":"Muhammad Abduh, &lt;i&gt;Tafsir Al-Qur’an Al-Karim&lt;/i&gt; (Mesir: Dar al-Mannar, 1947)."},"properties":{"noteIndex":25},"schema":"https://github.com/citation-style-language/schema/raw/master/csl-citation.json"}</w:instrText>
      </w:r>
      <w:r>
        <w:fldChar w:fldCharType="separate"/>
      </w:r>
      <w:r w:rsidRPr="00CF7574">
        <w:rPr>
          <w:noProof/>
        </w:rPr>
        <w:t xml:space="preserve">Muhammad Abduh, </w:t>
      </w:r>
      <w:r w:rsidRPr="00CF7574">
        <w:rPr>
          <w:i/>
          <w:noProof/>
        </w:rPr>
        <w:t>Tafsir Al-Qur’an Al-Karim</w:t>
      </w:r>
      <w:r w:rsidRPr="00CF7574">
        <w:rPr>
          <w:noProof/>
        </w:rPr>
        <w:t xml:space="preserve"> (Mesir: Dar al-Mannar, 1947).</w:t>
      </w:r>
      <w:r>
        <w:fldChar w:fldCharType="end"/>
      </w:r>
      <w:r>
        <w:t xml:space="preserve"> Jilid 1, h. 262</w:t>
      </w:r>
    </w:p>
  </w:footnote>
  <w:footnote w:id="26">
    <w:p w:rsidR="00F25E83" w:rsidRDefault="00F25E83" w:rsidP="00F25E83">
      <w:pPr>
        <w:pStyle w:val="FootnoteText"/>
      </w:pPr>
      <w:r>
        <w:tab/>
      </w:r>
      <w:r>
        <w:rPr>
          <w:rStyle w:val="FootnoteReference"/>
        </w:rPr>
        <w:footnoteRef/>
      </w:r>
      <w:r>
        <w:t xml:space="preserve"> </w:t>
      </w:r>
      <w:r>
        <w:fldChar w:fldCharType="begin" w:fldLock="1"/>
      </w:r>
      <w:r w:rsidR="00A64A44">
        <w:instrText>ADDIN CSL_CITATION {"citationItems":[{"id":"ITEM-1","itemData":{"author":[{"dropping-particle":"","family":"Ahmad Mustafa al-Maraghi","given":"","non-dropping-particle":"","parse-names":false,"suffix":""}],"id":"ITEM-1","issued":{"date-parts":[["1996"]]},"publisher":"Mustafa al-Halabi","publisher-place":"Kairo","title":"Tafsir al-Maraghi","type":"book"},"uris":["http://www.mendeley.com/documents/?uuid=32ca5112-4847-4434-b823-4a736c5a666e"]}],"mendeley":{"formattedCitation":"Ahmad Mustafa al-Maraghi, &lt;i&gt;Tafsir Al-Maraghi&lt;/i&gt; (Kairo: Mustafa al-Halabi, 1996).","plainTextFormattedCitation":"Ahmad Mustafa al-Maraghi, Tafsir Al-Maraghi (Kairo: Mustafa al-Halabi, 1996).","previouslyFormattedCitation":"Ahmad Mustafa al-Maraghi, &lt;i&gt;Tafsir Al-Maraghi&lt;/i&gt; (Kairo: Mustafa al-Halabi, 1996)."},"properties":{"noteIndex":26},"schema":"https://github.com/citation-style-language/schema/raw/master/csl-citation.json"}</w:instrText>
      </w:r>
      <w:r>
        <w:fldChar w:fldCharType="separate"/>
      </w:r>
      <w:r w:rsidRPr="00F25E83">
        <w:rPr>
          <w:noProof/>
        </w:rPr>
        <w:t xml:space="preserve">Ahmad Mustafa al-Maraghi, </w:t>
      </w:r>
      <w:r w:rsidRPr="00F25E83">
        <w:rPr>
          <w:i/>
          <w:noProof/>
        </w:rPr>
        <w:t>Tafsir Al-Maraghi</w:t>
      </w:r>
      <w:r w:rsidRPr="00F25E83">
        <w:rPr>
          <w:noProof/>
        </w:rPr>
        <w:t xml:space="preserve"> (Kairo: Mustafa al-Halabi, 1996).</w:t>
      </w:r>
      <w:r>
        <w:fldChar w:fldCharType="end"/>
      </w:r>
      <w:r>
        <w:t xml:space="preserve"> Jilid 11, h. 226</w:t>
      </w:r>
    </w:p>
  </w:footnote>
  <w:footnote w:id="27">
    <w:p w:rsidR="00A64A44" w:rsidRDefault="00A64A44" w:rsidP="00B16799">
      <w:pPr>
        <w:pStyle w:val="FootnoteText"/>
        <w:jc w:val="both"/>
      </w:pPr>
      <w:r>
        <w:tab/>
      </w:r>
      <w:r>
        <w:rPr>
          <w:rStyle w:val="FootnoteReference"/>
        </w:rPr>
        <w:footnoteRef/>
      </w:r>
      <w:r>
        <w:t xml:space="preserve"> </w:t>
      </w:r>
      <w:r>
        <w:fldChar w:fldCharType="begin" w:fldLock="1"/>
      </w:r>
      <w:r w:rsidR="00EE1AF5">
        <w:instrText>ADDIN CSL_CITATION {"citationItems":[{"id":"ITEM-1","itemData":{"author":[{"dropping-particle":"","family":"Hamka","given":"","non-dropping-particle":"","parse-names":false,"suffix":""}],"id":"ITEM-1","issued":{"date-parts":[["2015"]]},"publisher":"Gema Insani Press","publisher-place":"Jakarta","title":"Tafsir Al-Azhar: Diperkaya dengan Pendekatan Sejarah, Sosiologi, Tasawuf, Ilmu Kalam, Sastra dan Psikologi","type":"book"},"uris":["http://www.mendeley.com/documents/?uuid=8d466ea6-15c6-4a6b-9249-9b7dad57b33c"]}],"mendeley":{"formattedCitation":"Hamka, &lt;i&gt;Tafsir Al-Azhar: Diperkaya Dengan Pendekatan Sejarah, Sosiologi, Tasawuf, Ilmu Kalam, Sastra Dan Psikologi&lt;/i&gt;.","plainTextFormattedCitation":"Hamka, Tafsir Al-Azhar: Diperkaya Dengan Pendekatan Sejarah, Sosiologi, Tasawuf, Ilmu Kalam, Sastra Dan Psikologi.","previouslyFormattedCitation":"Hamka, &lt;i&gt;Tafsir Al-Azhar: Diperkaya Dengan Pendekatan Sejarah, Sosiologi, Tasawuf, Ilmu Kalam, Sastra Dan Psikologi&lt;/i&gt;."},"properties":{"noteIndex":27},"schema":"https://github.com/citation-style-language/schema/raw/master/csl-citation.json"}</w:instrText>
      </w:r>
      <w:r>
        <w:fldChar w:fldCharType="separate"/>
      </w:r>
      <w:r w:rsidRPr="00A64A44">
        <w:rPr>
          <w:noProof/>
        </w:rPr>
        <w:t xml:space="preserve">Hamka, </w:t>
      </w:r>
      <w:r w:rsidRPr="00A64A44">
        <w:rPr>
          <w:i/>
          <w:noProof/>
        </w:rPr>
        <w:t>Tafsir Al-Azhar: Diperkaya Dengan Pendekatan Sejarah, Sosiologi, Tasawuf, Ilmu Kalam, Sastra Dan Psikologi</w:t>
      </w:r>
      <w:r w:rsidRPr="00A64A44">
        <w:rPr>
          <w:noProof/>
        </w:rPr>
        <w:t>.</w:t>
      </w:r>
      <w:r>
        <w:fldChar w:fldCharType="end"/>
      </w:r>
      <w:r w:rsidR="00B16799">
        <w:t xml:space="preserve"> Jilid, 1, h. 71</w:t>
      </w:r>
    </w:p>
  </w:footnote>
  <w:footnote w:id="28">
    <w:p w:rsidR="00EE1AF5" w:rsidRDefault="00EE1AF5" w:rsidP="00EE1AF5">
      <w:pPr>
        <w:pStyle w:val="FootnoteText"/>
      </w:pPr>
      <w:r>
        <w:tab/>
      </w:r>
      <w:r>
        <w:rPr>
          <w:rStyle w:val="FootnoteReference"/>
        </w:rPr>
        <w:footnoteRef/>
      </w:r>
      <w:r>
        <w:t xml:space="preserve"> </w:t>
      </w:r>
      <w:r>
        <w:fldChar w:fldCharType="begin" w:fldLock="1"/>
      </w:r>
      <w:r w:rsidR="00FA3983">
        <w:instrText>ADDIN CSL_CITATION {"citationItems":[{"id":"ITEM-1","itemData":{"author":[{"dropping-particle":"","family":"Fakhruddin al-Razi","given":"","non-dropping-particle":"","parse-names":false,"suffix":""}],"id":"ITEM-1","issued":{"date-parts":[["1981"]]},"publisher":"Dar al Fikr","publisher-place":"Lebanon","title":"Mafatih al-Ghaib","type":"book"},"uris":["http://www.mendeley.com/documents/?uuid=42c8b49a-a7ec-4550-833f-d41b53f931c2"]}],"mendeley":{"formattedCitation":"Fakhruddin al-Razi, &lt;i&gt;Mafatih Al-Ghaib&lt;/i&gt; (Lebanon: Dar al Fikr, 1981).","plainTextFormattedCitation":"Fakhruddin al-Razi, Mafatih Al-Ghaib (Lebanon: Dar al Fikr, 1981).","previouslyFormattedCitation":"Fakhruddin al-Razi, &lt;i&gt;Mafatih Al-Ghaib&lt;/i&gt; (Lebanon: Dar al Fikr, 1981)."},"properties":{"noteIndex":28},"schema":"https://github.com/citation-style-language/schema/raw/master/csl-citation.json"}</w:instrText>
      </w:r>
      <w:r>
        <w:fldChar w:fldCharType="separate"/>
      </w:r>
      <w:r w:rsidRPr="00EE1AF5">
        <w:rPr>
          <w:noProof/>
        </w:rPr>
        <w:t xml:space="preserve">Fakhruddin al-Razi, </w:t>
      </w:r>
      <w:r w:rsidRPr="00EE1AF5">
        <w:rPr>
          <w:i/>
          <w:noProof/>
        </w:rPr>
        <w:t>Mafatih Al-Ghaib</w:t>
      </w:r>
      <w:r w:rsidRPr="00EE1AF5">
        <w:rPr>
          <w:noProof/>
        </w:rPr>
        <w:t xml:space="preserve"> (Lebanon: Dar al Fikr, 1981).</w:t>
      </w:r>
      <w:r>
        <w:fldChar w:fldCharType="end"/>
      </w:r>
      <w:r>
        <w:t xml:space="preserve"> Jilid, 1, h. </w:t>
      </w:r>
      <w:r w:rsidR="009E79E9">
        <w:t>421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7D"/>
    <w:rsid w:val="00000090"/>
    <w:rsid w:val="000322EE"/>
    <w:rsid w:val="00035CEE"/>
    <w:rsid w:val="00045003"/>
    <w:rsid w:val="00053856"/>
    <w:rsid w:val="000600F8"/>
    <w:rsid w:val="000613A3"/>
    <w:rsid w:val="000878CF"/>
    <w:rsid w:val="00093A6D"/>
    <w:rsid w:val="000C1C40"/>
    <w:rsid w:val="000E0833"/>
    <w:rsid w:val="000E1515"/>
    <w:rsid w:val="000E4BA3"/>
    <w:rsid w:val="000F5A1B"/>
    <w:rsid w:val="00117984"/>
    <w:rsid w:val="001576DC"/>
    <w:rsid w:val="001B395F"/>
    <w:rsid w:val="001C42C3"/>
    <w:rsid w:val="001F0434"/>
    <w:rsid w:val="001F3E22"/>
    <w:rsid w:val="001F6CF0"/>
    <w:rsid w:val="002005B7"/>
    <w:rsid w:val="00200C0C"/>
    <w:rsid w:val="002209A7"/>
    <w:rsid w:val="002544B3"/>
    <w:rsid w:val="002563DD"/>
    <w:rsid w:val="002605E1"/>
    <w:rsid w:val="00273A30"/>
    <w:rsid w:val="002874F1"/>
    <w:rsid w:val="00294933"/>
    <w:rsid w:val="002A4A5A"/>
    <w:rsid w:val="002B2E98"/>
    <w:rsid w:val="002B3E0A"/>
    <w:rsid w:val="002D0A3C"/>
    <w:rsid w:val="002D4FFF"/>
    <w:rsid w:val="002F10DC"/>
    <w:rsid w:val="003162A0"/>
    <w:rsid w:val="0031784A"/>
    <w:rsid w:val="00337BEC"/>
    <w:rsid w:val="00352E3D"/>
    <w:rsid w:val="00382D67"/>
    <w:rsid w:val="0039284E"/>
    <w:rsid w:val="003A0128"/>
    <w:rsid w:val="003A1927"/>
    <w:rsid w:val="003A2A4F"/>
    <w:rsid w:val="003E1CF0"/>
    <w:rsid w:val="0040521C"/>
    <w:rsid w:val="00433852"/>
    <w:rsid w:val="0044125F"/>
    <w:rsid w:val="00444F5B"/>
    <w:rsid w:val="00451FC7"/>
    <w:rsid w:val="004531FA"/>
    <w:rsid w:val="0045746F"/>
    <w:rsid w:val="0049140F"/>
    <w:rsid w:val="004D6DB1"/>
    <w:rsid w:val="004E1377"/>
    <w:rsid w:val="004E22B1"/>
    <w:rsid w:val="004F014A"/>
    <w:rsid w:val="00506261"/>
    <w:rsid w:val="00541B82"/>
    <w:rsid w:val="00543CAB"/>
    <w:rsid w:val="005551D8"/>
    <w:rsid w:val="005A1122"/>
    <w:rsid w:val="005B031E"/>
    <w:rsid w:val="005B1EE8"/>
    <w:rsid w:val="005C3946"/>
    <w:rsid w:val="005D6F69"/>
    <w:rsid w:val="005E6ED2"/>
    <w:rsid w:val="005F54E4"/>
    <w:rsid w:val="00601924"/>
    <w:rsid w:val="006137A2"/>
    <w:rsid w:val="00631307"/>
    <w:rsid w:val="006321B9"/>
    <w:rsid w:val="006547BE"/>
    <w:rsid w:val="0066188B"/>
    <w:rsid w:val="00673B05"/>
    <w:rsid w:val="00674CAA"/>
    <w:rsid w:val="00677149"/>
    <w:rsid w:val="006810AB"/>
    <w:rsid w:val="00683004"/>
    <w:rsid w:val="00691884"/>
    <w:rsid w:val="006A2B33"/>
    <w:rsid w:val="006C0590"/>
    <w:rsid w:val="006D5554"/>
    <w:rsid w:val="006E01E6"/>
    <w:rsid w:val="006E237F"/>
    <w:rsid w:val="006E2B49"/>
    <w:rsid w:val="006E3350"/>
    <w:rsid w:val="007016BB"/>
    <w:rsid w:val="007152AF"/>
    <w:rsid w:val="00716712"/>
    <w:rsid w:val="00717C28"/>
    <w:rsid w:val="007259C9"/>
    <w:rsid w:val="00742090"/>
    <w:rsid w:val="00746614"/>
    <w:rsid w:val="0075181D"/>
    <w:rsid w:val="00763BA8"/>
    <w:rsid w:val="00770CB7"/>
    <w:rsid w:val="00772D62"/>
    <w:rsid w:val="00793FE0"/>
    <w:rsid w:val="00796D16"/>
    <w:rsid w:val="007A75FB"/>
    <w:rsid w:val="007B4494"/>
    <w:rsid w:val="007D7615"/>
    <w:rsid w:val="008049C0"/>
    <w:rsid w:val="00823C3F"/>
    <w:rsid w:val="00833418"/>
    <w:rsid w:val="0083602B"/>
    <w:rsid w:val="008534AB"/>
    <w:rsid w:val="00871D9F"/>
    <w:rsid w:val="00872D20"/>
    <w:rsid w:val="00877A21"/>
    <w:rsid w:val="0088072D"/>
    <w:rsid w:val="00890F00"/>
    <w:rsid w:val="008B2D2D"/>
    <w:rsid w:val="008C6BF6"/>
    <w:rsid w:val="008E3C72"/>
    <w:rsid w:val="00921859"/>
    <w:rsid w:val="00956144"/>
    <w:rsid w:val="009564F9"/>
    <w:rsid w:val="00965D0E"/>
    <w:rsid w:val="009962DC"/>
    <w:rsid w:val="00996A32"/>
    <w:rsid w:val="009B3503"/>
    <w:rsid w:val="009B7B2B"/>
    <w:rsid w:val="009D27E3"/>
    <w:rsid w:val="009E79E9"/>
    <w:rsid w:val="00A200A4"/>
    <w:rsid w:val="00A46C1B"/>
    <w:rsid w:val="00A64A44"/>
    <w:rsid w:val="00A65623"/>
    <w:rsid w:val="00A85B4A"/>
    <w:rsid w:val="00AA1065"/>
    <w:rsid w:val="00AB2870"/>
    <w:rsid w:val="00AB5D9C"/>
    <w:rsid w:val="00AC194F"/>
    <w:rsid w:val="00AC474A"/>
    <w:rsid w:val="00AE1164"/>
    <w:rsid w:val="00B16799"/>
    <w:rsid w:val="00B54E2E"/>
    <w:rsid w:val="00B8146D"/>
    <w:rsid w:val="00B82288"/>
    <w:rsid w:val="00BB1B67"/>
    <w:rsid w:val="00BB22A6"/>
    <w:rsid w:val="00BC3256"/>
    <w:rsid w:val="00BC5014"/>
    <w:rsid w:val="00BC7199"/>
    <w:rsid w:val="00BE011A"/>
    <w:rsid w:val="00BF247D"/>
    <w:rsid w:val="00C14B71"/>
    <w:rsid w:val="00C3015E"/>
    <w:rsid w:val="00C316D6"/>
    <w:rsid w:val="00C4440A"/>
    <w:rsid w:val="00CB51AB"/>
    <w:rsid w:val="00CB5B8C"/>
    <w:rsid w:val="00CB7E92"/>
    <w:rsid w:val="00CC064E"/>
    <w:rsid w:val="00CD10E0"/>
    <w:rsid w:val="00CD5483"/>
    <w:rsid w:val="00CE0E16"/>
    <w:rsid w:val="00CF7574"/>
    <w:rsid w:val="00D02FC2"/>
    <w:rsid w:val="00D10B26"/>
    <w:rsid w:val="00D36F2B"/>
    <w:rsid w:val="00D4258F"/>
    <w:rsid w:val="00D43678"/>
    <w:rsid w:val="00D45C00"/>
    <w:rsid w:val="00D81739"/>
    <w:rsid w:val="00DA3D7C"/>
    <w:rsid w:val="00DE168D"/>
    <w:rsid w:val="00DE788E"/>
    <w:rsid w:val="00DF14F9"/>
    <w:rsid w:val="00E159ED"/>
    <w:rsid w:val="00E23BA2"/>
    <w:rsid w:val="00E32948"/>
    <w:rsid w:val="00E970D4"/>
    <w:rsid w:val="00EB24FB"/>
    <w:rsid w:val="00EE1AF5"/>
    <w:rsid w:val="00F25721"/>
    <w:rsid w:val="00F25A67"/>
    <w:rsid w:val="00F25E83"/>
    <w:rsid w:val="00F31C7E"/>
    <w:rsid w:val="00F344B4"/>
    <w:rsid w:val="00F66268"/>
    <w:rsid w:val="00F80A17"/>
    <w:rsid w:val="00F8281D"/>
    <w:rsid w:val="00F90969"/>
    <w:rsid w:val="00FA3983"/>
    <w:rsid w:val="00FA632A"/>
    <w:rsid w:val="00FD736E"/>
    <w:rsid w:val="00FF7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CA0DE"/>
  <w15:docId w15:val="{93421E31-296D-4726-9EC4-B16A00A0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770CB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770CB7"/>
    <w:rPr>
      <w:sz w:val="20"/>
      <w:szCs w:val="20"/>
    </w:rPr>
  </w:style>
  <w:style w:type="character" w:styleId="FootnoteReference">
    <w:name w:val="footnote reference"/>
    <w:basedOn w:val="DefaultParagraphFont"/>
    <w:uiPriority w:val="99"/>
    <w:semiHidden/>
    <w:unhideWhenUsed/>
    <w:qFormat/>
    <w:rsid w:val="00770CB7"/>
    <w:rPr>
      <w:vertAlign w:val="superscript"/>
    </w:rPr>
  </w:style>
  <w:style w:type="paragraph" w:styleId="EndnoteText">
    <w:name w:val="endnote text"/>
    <w:basedOn w:val="Normal"/>
    <w:link w:val="EndnoteTextChar"/>
    <w:uiPriority w:val="99"/>
    <w:semiHidden/>
    <w:unhideWhenUsed/>
    <w:rsid w:val="00D817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739"/>
    <w:rPr>
      <w:sz w:val="20"/>
      <w:szCs w:val="20"/>
    </w:rPr>
  </w:style>
  <w:style w:type="character" w:styleId="EndnoteReference">
    <w:name w:val="endnote reference"/>
    <w:basedOn w:val="DefaultParagraphFont"/>
    <w:uiPriority w:val="99"/>
    <w:semiHidden/>
    <w:unhideWhenUsed/>
    <w:rsid w:val="00D81739"/>
    <w:rPr>
      <w:vertAlign w:val="superscript"/>
    </w:rPr>
  </w:style>
  <w:style w:type="paragraph" w:styleId="ListParagraph">
    <w:name w:val="List Paragraph"/>
    <w:basedOn w:val="Normal"/>
    <w:uiPriority w:val="34"/>
    <w:qFormat/>
    <w:rsid w:val="005D6F69"/>
    <w:pPr>
      <w:spacing w:before="200" w:after="200" w:line="276" w:lineRule="auto"/>
      <w:ind w:left="720"/>
      <w:contextualSpacing/>
    </w:pPr>
    <w:rPr>
      <w:rFonts w:eastAsia="Times New Roman" w:cs="Times New Roman"/>
      <w:sz w:val="20"/>
      <w:szCs w:val="20"/>
    </w:rPr>
  </w:style>
  <w:style w:type="character" w:styleId="Hyperlink">
    <w:name w:val="Hyperlink"/>
    <w:basedOn w:val="DefaultParagraphFont"/>
    <w:uiPriority w:val="99"/>
    <w:unhideWhenUsed/>
    <w:rsid w:val="00AE11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660033">
      <w:bodyDiv w:val="1"/>
      <w:marLeft w:val="0"/>
      <w:marRight w:val="0"/>
      <w:marTop w:val="0"/>
      <w:marBottom w:val="0"/>
      <w:divBdr>
        <w:top w:val="none" w:sz="0" w:space="0" w:color="auto"/>
        <w:left w:val="none" w:sz="0" w:space="0" w:color="auto"/>
        <w:bottom w:val="none" w:sz="0" w:space="0" w:color="auto"/>
        <w:right w:val="none" w:sz="0" w:space="0" w:color="auto"/>
      </w:divBdr>
      <w:divsChild>
        <w:div w:id="1783963674">
          <w:marLeft w:val="0"/>
          <w:marRight w:val="0"/>
          <w:marTop w:val="0"/>
          <w:marBottom w:val="0"/>
          <w:divBdr>
            <w:top w:val="none" w:sz="0" w:space="0" w:color="auto"/>
            <w:left w:val="none" w:sz="0" w:space="0" w:color="auto"/>
            <w:bottom w:val="none" w:sz="0" w:space="0" w:color="auto"/>
            <w:right w:val="none" w:sz="0" w:space="0" w:color="auto"/>
          </w:divBdr>
        </w:div>
        <w:div w:id="8304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hir@ptiq.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3CED7-B9E0-4521-AA20-1C6B5AAE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4644</Words>
  <Characters>26475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Anwar</cp:lastModifiedBy>
  <cp:revision>3</cp:revision>
  <dcterms:created xsi:type="dcterms:W3CDTF">2023-03-21T01:08:00Z</dcterms:created>
  <dcterms:modified xsi:type="dcterms:W3CDTF">2023-03-21T02:15:00Z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http://www.zotero.org/styles/turabian-fullnote-bibliography-no-ibid</vt:lpwstr>
  </property>
  <property fmtid="{D5CDD505-2E9C-101B-9397-08002B2CF9AE}" pid="4" name="Mendeley Unique User Id_1">
    <vt:lpwstr>c0630625-62bf-3f0d-8f21-975cd9e1a32c</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http://www.zotero.org/styles/turabian-fullnote-bibliography-no-ibid</vt:lpwstr>
  </property>
  <property fmtid="{D5CDD505-2E9C-101B-9397-08002B2CF9AE}" pid="24" name="Mendeley Recent Style Name 9_1">
    <vt:lpwstr>Turabian 8th edition (full note, no ibid)</vt:lpwstr>
  </property>
</Properties>
</file>