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048" w:rsidRDefault="00AC0DA9" w:rsidP="000D02F5">
      <w:pPr>
        <w:spacing w:line="360" w:lineRule="auto"/>
        <w:jc w:val="center"/>
        <w:rPr>
          <w:rFonts w:ascii="Times New Roman" w:hAnsi="Times New Roman" w:cs="Times New Roman"/>
          <w:b/>
          <w:bCs/>
          <w:sz w:val="24"/>
          <w:szCs w:val="24"/>
          <w:lang w:val="id-ID"/>
        </w:rPr>
      </w:pPr>
      <w:r w:rsidRPr="003C6B8D">
        <w:rPr>
          <w:rFonts w:ascii="Times New Roman" w:hAnsi="Times New Roman" w:cs="Times New Roman"/>
          <w:b/>
          <w:bCs/>
          <w:sz w:val="24"/>
          <w:szCs w:val="24"/>
        </w:rPr>
        <w:t xml:space="preserve">KONSEP MASLAHAT </w:t>
      </w:r>
      <w:r w:rsidR="00BB2F5D" w:rsidRPr="003C6B8D">
        <w:rPr>
          <w:rFonts w:ascii="Times New Roman" w:hAnsi="Times New Roman" w:cs="Times New Roman"/>
          <w:b/>
          <w:bCs/>
          <w:sz w:val="24"/>
          <w:szCs w:val="24"/>
        </w:rPr>
        <w:t xml:space="preserve">                                                                                         </w:t>
      </w:r>
      <w:r w:rsidR="000D6960" w:rsidRPr="003C6B8D">
        <w:rPr>
          <w:rFonts w:ascii="Times New Roman" w:hAnsi="Times New Roman" w:cs="Times New Roman"/>
          <w:b/>
          <w:bCs/>
          <w:sz w:val="24"/>
          <w:szCs w:val="24"/>
        </w:rPr>
        <w:t>DALAM PANDANGAN IMĀM MĀ</w:t>
      </w:r>
      <w:r w:rsidRPr="003C6B8D">
        <w:rPr>
          <w:rFonts w:ascii="Times New Roman" w:hAnsi="Times New Roman" w:cs="Times New Roman"/>
          <w:b/>
          <w:bCs/>
          <w:sz w:val="24"/>
          <w:szCs w:val="24"/>
        </w:rPr>
        <w:t>LIK</w:t>
      </w:r>
      <w:r w:rsidR="00040260" w:rsidRPr="003C6B8D">
        <w:rPr>
          <w:rFonts w:ascii="Times New Roman" w:hAnsi="Times New Roman" w:cs="Times New Roman"/>
          <w:b/>
          <w:bCs/>
          <w:sz w:val="24"/>
          <w:szCs w:val="24"/>
          <w:lang w:val="id-ID"/>
        </w:rPr>
        <w:t xml:space="preserve">, Al GHAZALI, DAN AL </w:t>
      </w:r>
      <w:r w:rsidR="000968F4" w:rsidRPr="003C6B8D">
        <w:rPr>
          <w:rFonts w:ascii="Times New Roman" w:hAnsi="Times New Roman" w:cs="Times New Roman"/>
          <w:b/>
          <w:bCs/>
          <w:sz w:val="24"/>
          <w:szCs w:val="24"/>
          <w:lang w:val="id-ID"/>
        </w:rPr>
        <w:t>TUF</w:t>
      </w:r>
      <w:r w:rsidR="00040260" w:rsidRPr="003C6B8D">
        <w:rPr>
          <w:rFonts w:ascii="Times New Roman" w:hAnsi="Times New Roman" w:cs="Times New Roman"/>
          <w:b/>
          <w:bCs/>
          <w:sz w:val="24"/>
          <w:szCs w:val="24"/>
          <w:lang w:val="id-ID"/>
        </w:rPr>
        <w:t>I</w:t>
      </w:r>
      <w:r w:rsidR="000968F4" w:rsidRPr="003C6B8D">
        <w:rPr>
          <w:rFonts w:ascii="Times New Roman" w:hAnsi="Times New Roman" w:cs="Times New Roman"/>
          <w:b/>
          <w:bCs/>
          <w:sz w:val="24"/>
          <w:szCs w:val="24"/>
          <w:lang w:val="id-ID"/>
        </w:rPr>
        <w:t>Y</w:t>
      </w:r>
    </w:p>
    <w:p w:rsidR="00657592" w:rsidRPr="00D463E2" w:rsidRDefault="00103414" w:rsidP="000D02F5">
      <w:pPr>
        <w:spacing w:after="0" w:line="360" w:lineRule="auto"/>
        <w:jc w:val="center"/>
        <w:rPr>
          <w:rFonts w:ascii="Times New Arabic" w:hAnsi="Times New Arabic" w:cs="Times New Roman"/>
          <w:color w:val="000000"/>
          <w:sz w:val="24"/>
          <w:szCs w:val="24"/>
          <w:lang w:val="id-ID"/>
        </w:rPr>
      </w:pPr>
      <w:r>
        <w:rPr>
          <w:rFonts w:ascii="Times New Arabic" w:hAnsi="Times New Arabic" w:cs="Times New Roman"/>
          <w:color w:val="000000"/>
          <w:sz w:val="24"/>
          <w:szCs w:val="24"/>
          <w:lang w:val="id-ID"/>
        </w:rPr>
        <w:t>Sutikno</w:t>
      </w:r>
      <w:r w:rsidR="00657592">
        <w:rPr>
          <w:rFonts w:ascii="Times New Arabic" w:hAnsi="Times New Arabic" w:cs="Times New Roman"/>
          <w:color w:val="000000"/>
          <w:sz w:val="24"/>
          <w:szCs w:val="24"/>
          <w:lang w:val="id-ID"/>
        </w:rPr>
        <w:t xml:space="preserve">, </w:t>
      </w:r>
      <w:r w:rsidR="00FF21CC">
        <w:rPr>
          <w:rFonts w:ascii="Times New Arabic" w:hAnsi="Times New Arabic" w:cs="Times New Roman"/>
          <w:color w:val="000000"/>
          <w:sz w:val="24"/>
          <w:szCs w:val="24"/>
          <w:lang w:val="id-ID"/>
        </w:rPr>
        <w:t>Kurniati, Lomba Sultan</w:t>
      </w:r>
    </w:p>
    <w:p w:rsidR="00657592" w:rsidRPr="00F65507" w:rsidRDefault="00DE758F" w:rsidP="00F65507">
      <w:pPr>
        <w:spacing w:after="0" w:line="360" w:lineRule="auto"/>
        <w:jc w:val="center"/>
        <w:rPr>
          <w:rFonts w:ascii="Times New Arabic" w:hAnsi="Times New Arabic" w:cs="Times New Roman"/>
          <w:color w:val="000000"/>
          <w:sz w:val="24"/>
          <w:szCs w:val="24"/>
          <w:lang w:val="id-ID"/>
        </w:rPr>
      </w:pPr>
      <w:r>
        <w:rPr>
          <w:rFonts w:ascii="Times New Arabic" w:hAnsi="Times New Arabic" w:cs="Times New Roman"/>
          <w:color w:val="000000"/>
          <w:sz w:val="24"/>
          <w:szCs w:val="24"/>
          <w:lang w:val="id-ID"/>
        </w:rPr>
        <w:t>Universitas Islam Negeri Alaud</w:t>
      </w:r>
      <w:r w:rsidR="00657592" w:rsidRPr="00D463E2">
        <w:rPr>
          <w:rFonts w:ascii="Times New Arabic" w:hAnsi="Times New Arabic" w:cs="Times New Roman"/>
          <w:color w:val="000000"/>
          <w:sz w:val="24"/>
          <w:szCs w:val="24"/>
          <w:lang w:val="id-ID"/>
        </w:rPr>
        <w:t>din Makassar</w:t>
      </w:r>
    </w:p>
    <w:p w:rsidR="00111F19" w:rsidRPr="003C6B8D" w:rsidRDefault="00111F19" w:rsidP="000D02F5">
      <w:pPr>
        <w:pStyle w:val="BatangTubuh"/>
        <w:spacing w:line="360" w:lineRule="auto"/>
        <w:ind w:firstLine="0"/>
        <w:jc w:val="center"/>
        <w:rPr>
          <w:b/>
          <w:iCs/>
          <w:sz w:val="24"/>
          <w:szCs w:val="24"/>
          <w:lang w:val="id-ID"/>
        </w:rPr>
      </w:pPr>
      <w:r w:rsidRPr="003C6B8D">
        <w:rPr>
          <w:b/>
          <w:iCs/>
          <w:sz w:val="24"/>
          <w:szCs w:val="24"/>
          <w:lang w:val="id-ID"/>
        </w:rPr>
        <w:t>ABSTRAK</w:t>
      </w:r>
    </w:p>
    <w:p w:rsidR="00111F19" w:rsidRPr="003C6B8D" w:rsidRDefault="00111F19" w:rsidP="000D02F5">
      <w:pPr>
        <w:pStyle w:val="BatangTubuh"/>
        <w:spacing w:line="360" w:lineRule="auto"/>
        <w:jc w:val="both"/>
        <w:rPr>
          <w:sz w:val="24"/>
          <w:szCs w:val="24"/>
          <w:lang w:val="id-ID"/>
        </w:rPr>
      </w:pPr>
      <w:r w:rsidRPr="003C6B8D">
        <w:rPr>
          <w:i/>
          <w:iCs/>
          <w:sz w:val="24"/>
          <w:szCs w:val="24"/>
          <w:lang w:val="id-ID"/>
        </w:rPr>
        <w:t xml:space="preserve">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adalah sebuah produk pemikiran dari para ulama yang menggambarkan tentang kemahaadilan Tuhan dalam menurunkan syari’at kepada </w:t>
      </w:r>
      <w:r w:rsidRPr="003C6B8D">
        <w:rPr>
          <w:i/>
          <w:iCs/>
          <w:sz w:val="24"/>
          <w:szCs w:val="24"/>
        </w:rPr>
        <w:t>mukallaf</w:t>
      </w:r>
      <w:r w:rsidRPr="003C6B8D">
        <w:rPr>
          <w:sz w:val="24"/>
          <w:szCs w:val="24"/>
        </w:rPr>
        <w:t xml:space="preserve">. Sedemikian pentingnya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ini sehingga para ulama banyak berbicara tentang dalam konteks menyetujuinya dan sebagian lainnya masih mengkaji ulang eksistensinya dalam syari’at.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bukanlah dalil yang </w:t>
      </w:r>
      <w:r w:rsidRPr="003C6B8D">
        <w:rPr>
          <w:i/>
          <w:iCs/>
          <w:sz w:val="24"/>
          <w:szCs w:val="24"/>
        </w:rPr>
        <w:t>qa</w:t>
      </w:r>
      <w:r w:rsidRPr="003C6B8D">
        <w:rPr>
          <w:rFonts w:cs="Times New Roman"/>
          <w:i/>
          <w:iCs/>
          <w:sz w:val="24"/>
          <w:szCs w:val="24"/>
        </w:rPr>
        <w:t>ṭ</w:t>
      </w:r>
      <w:r w:rsidRPr="003C6B8D">
        <w:rPr>
          <w:i/>
          <w:iCs/>
          <w:sz w:val="24"/>
          <w:szCs w:val="24"/>
        </w:rPr>
        <w:t xml:space="preserve">’iy </w:t>
      </w:r>
      <w:r w:rsidRPr="003C6B8D">
        <w:rPr>
          <w:sz w:val="24"/>
          <w:szCs w:val="24"/>
        </w:rPr>
        <w:t xml:space="preserve">dan ia juga bukan merupakan dalil yang </w:t>
      </w:r>
      <w:r w:rsidRPr="003C6B8D">
        <w:rPr>
          <w:rFonts w:cs="Times New Roman"/>
          <w:i/>
          <w:iCs/>
          <w:sz w:val="24"/>
          <w:szCs w:val="24"/>
        </w:rPr>
        <w:t>ẓ</w:t>
      </w:r>
      <w:r w:rsidRPr="003C6B8D">
        <w:rPr>
          <w:i/>
          <w:iCs/>
          <w:sz w:val="24"/>
          <w:szCs w:val="24"/>
        </w:rPr>
        <w:t>ann</w:t>
      </w:r>
      <w:r w:rsidRPr="003C6B8D">
        <w:rPr>
          <w:rFonts w:cs="Times New Roman"/>
          <w:i/>
          <w:iCs/>
          <w:sz w:val="24"/>
          <w:szCs w:val="24"/>
        </w:rPr>
        <w:t>ī</w:t>
      </w:r>
      <w:r w:rsidRPr="003C6B8D">
        <w:rPr>
          <w:i/>
          <w:iCs/>
          <w:sz w:val="24"/>
          <w:szCs w:val="24"/>
        </w:rPr>
        <w:t>y</w:t>
      </w:r>
      <w:r w:rsidRPr="003C6B8D">
        <w:rPr>
          <w:sz w:val="24"/>
          <w:szCs w:val="24"/>
        </w:rPr>
        <w:t xml:space="preserve">.  Ia hanyalah dalil ijtihadi yang secara mendasar melingkupi aspek-aspek penetapan hukum </w:t>
      </w:r>
      <w:r w:rsidRPr="003C6B8D">
        <w:rPr>
          <w:i/>
          <w:iCs/>
          <w:sz w:val="24"/>
          <w:szCs w:val="24"/>
        </w:rPr>
        <w:t xml:space="preserve">(al-tasyri’) </w:t>
      </w:r>
      <w:r w:rsidRPr="003C6B8D">
        <w:rPr>
          <w:sz w:val="24"/>
          <w:szCs w:val="24"/>
        </w:rPr>
        <w:t xml:space="preserve">dan menjadi kajian intens ketika </w:t>
      </w:r>
      <w:r w:rsidRPr="003C6B8D">
        <w:rPr>
          <w:i/>
          <w:iCs/>
          <w:sz w:val="24"/>
          <w:szCs w:val="24"/>
        </w:rPr>
        <w:t xml:space="preserve">mukallaf </w:t>
      </w:r>
      <w:r w:rsidRPr="003C6B8D">
        <w:rPr>
          <w:sz w:val="24"/>
          <w:szCs w:val="24"/>
        </w:rPr>
        <w:t xml:space="preserve"> menuntut keadilan Tuhan dan  ketika </w:t>
      </w:r>
      <w:r w:rsidRPr="003C6B8D">
        <w:rPr>
          <w:i/>
          <w:iCs/>
          <w:sz w:val="24"/>
          <w:szCs w:val="24"/>
        </w:rPr>
        <w:t xml:space="preserve">mukallaf </w:t>
      </w:r>
      <w:r w:rsidRPr="003C6B8D">
        <w:rPr>
          <w:sz w:val="24"/>
          <w:szCs w:val="24"/>
        </w:rPr>
        <w:t xml:space="preserve"> itu dimintai keterangan dan pertanggungjawaban perbuatannya. Diskursus ulama seputar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at</w:t>
      </w:r>
      <w:r w:rsidRPr="003C6B8D">
        <w:rPr>
          <w:sz w:val="24"/>
          <w:szCs w:val="24"/>
        </w:rPr>
        <w:t xml:space="preserve"> telah berkembang dan mengantar mereka pada tahapan berbeda pendapat</w:t>
      </w:r>
      <w:r w:rsidRPr="003C6B8D">
        <w:rPr>
          <w:sz w:val="24"/>
          <w:szCs w:val="24"/>
          <w:lang w:val="id-ID"/>
        </w:rPr>
        <w:t>.</w:t>
      </w:r>
    </w:p>
    <w:p w:rsidR="00111F19" w:rsidRPr="003C6B8D" w:rsidRDefault="00111F19" w:rsidP="000D02F5">
      <w:pPr>
        <w:pStyle w:val="BatangTubuh"/>
        <w:spacing w:line="360" w:lineRule="auto"/>
        <w:ind w:firstLine="0"/>
        <w:jc w:val="both"/>
        <w:rPr>
          <w:sz w:val="24"/>
          <w:szCs w:val="24"/>
          <w:lang w:val="id-ID"/>
        </w:rPr>
      </w:pPr>
      <w:r w:rsidRPr="003C6B8D">
        <w:rPr>
          <w:b/>
          <w:sz w:val="24"/>
          <w:szCs w:val="24"/>
          <w:lang w:val="id-ID"/>
        </w:rPr>
        <w:t>Kata Kunci</w:t>
      </w:r>
      <w:r w:rsidRPr="003C6B8D">
        <w:rPr>
          <w:sz w:val="24"/>
          <w:szCs w:val="24"/>
          <w:lang w:val="id-ID"/>
        </w:rPr>
        <w:t>. Maslahat, Imam Malik, Imam Al Ghazali, Imam Al Tufy.</w:t>
      </w:r>
    </w:p>
    <w:p w:rsidR="00111F19" w:rsidRPr="003C6B8D" w:rsidRDefault="00111F19" w:rsidP="000D02F5">
      <w:pPr>
        <w:pStyle w:val="BatangTubuh"/>
        <w:spacing w:line="360" w:lineRule="auto"/>
        <w:ind w:firstLine="0"/>
        <w:jc w:val="both"/>
        <w:rPr>
          <w:sz w:val="24"/>
          <w:szCs w:val="24"/>
          <w:lang w:val="id-ID"/>
        </w:rPr>
      </w:pPr>
    </w:p>
    <w:p w:rsidR="000968F4" w:rsidRPr="003C6B8D" w:rsidRDefault="000968F4" w:rsidP="000D02F5">
      <w:pPr>
        <w:spacing w:line="360" w:lineRule="auto"/>
        <w:rPr>
          <w:rFonts w:ascii="Times New Roman" w:hAnsi="Times New Roman" w:cs="Times New Roman"/>
          <w:b/>
          <w:bCs/>
          <w:iCs/>
          <w:sz w:val="24"/>
          <w:szCs w:val="24"/>
          <w:lang w:val="id-ID"/>
        </w:rPr>
      </w:pPr>
      <w:r w:rsidRPr="003C6B8D">
        <w:rPr>
          <w:rFonts w:ascii="Times New Roman" w:hAnsi="Times New Roman" w:cs="Times New Roman"/>
          <w:b/>
          <w:iCs/>
          <w:sz w:val="24"/>
          <w:szCs w:val="24"/>
          <w:lang w:val="id-ID"/>
        </w:rPr>
        <w:t>PENDAHULUAN</w:t>
      </w:r>
    </w:p>
    <w:p w:rsidR="00564048" w:rsidRPr="003C6B8D" w:rsidRDefault="00564048"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Perkembangan hukum Islam</w:t>
      </w:r>
      <w:r w:rsidR="00343F01" w:rsidRPr="003C6B8D">
        <w:rPr>
          <w:rFonts w:ascii="Times New Roman" w:hAnsi="Times New Roman" w:cs="Times New Roman"/>
          <w:sz w:val="24"/>
          <w:szCs w:val="24"/>
        </w:rPr>
        <w:t xml:space="preserve"> pada abad ke III H</w:t>
      </w:r>
      <w:r w:rsidRPr="003C6B8D">
        <w:rPr>
          <w:rFonts w:ascii="Times New Roman" w:hAnsi="Times New Roman" w:cs="Times New Roman"/>
          <w:sz w:val="24"/>
          <w:szCs w:val="24"/>
        </w:rPr>
        <w:t xml:space="preserve"> banyak dipengaruhi oleh pemikiran tokoh-tokoh ush</w:t>
      </w:r>
      <w:r w:rsidR="00BB2F5D" w:rsidRPr="003C6B8D">
        <w:rPr>
          <w:rFonts w:ascii="Times New Roman" w:hAnsi="Times New Roman" w:cs="Times New Roman"/>
          <w:sz w:val="24"/>
          <w:szCs w:val="24"/>
        </w:rPr>
        <w:t>ū</w:t>
      </w:r>
      <w:r w:rsidRPr="003C6B8D">
        <w:rPr>
          <w:rFonts w:ascii="Times New Roman" w:hAnsi="Times New Roman" w:cs="Times New Roman"/>
          <w:sz w:val="24"/>
          <w:szCs w:val="24"/>
        </w:rPr>
        <w:t xml:space="preserve">l </w:t>
      </w:r>
      <w:r w:rsidR="00BB2F5D" w:rsidRPr="003C6B8D">
        <w:rPr>
          <w:rFonts w:ascii="Times New Roman" w:hAnsi="Times New Roman" w:cs="Times New Roman"/>
          <w:sz w:val="24"/>
          <w:szCs w:val="24"/>
        </w:rPr>
        <w:t>al-</w:t>
      </w:r>
      <w:r w:rsidRPr="003C6B8D">
        <w:rPr>
          <w:rFonts w:ascii="Times New Roman" w:hAnsi="Times New Roman" w:cs="Times New Roman"/>
          <w:sz w:val="24"/>
          <w:szCs w:val="24"/>
        </w:rPr>
        <w:t>fi</w:t>
      </w:r>
      <w:r w:rsidR="00A91296" w:rsidRPr="003C6B8D">
        <w:rPr>
          <w:rFonts w:ascii="Times New Roman" w:hAnsi="Times New Roman" w:cs="Times New Roman"/>
          <w:sz w:val="24"/>
          <w:szCs w:val="24"/>
        </w:rPr>
        <w:t>q</w:t>
      </w:r>
      <w:r w:rsidRPr="003C6B8D">
        <w:rPr>
          <w:rFonts w:ascii="Times New Roman" w:hAnsi="Times New Roman" w:cs="Times New Roman"/>
          <w:sz w:val="24"/>
          <w:szCs w:val="24"/>
        </w:rPr>
        <w:t>h,</w:t>
      </w:r>
      <w:r w:rsidR="00A91296" w:rsidRPr="003C6B8D">
        <w:rPr>
          <w:rStyle w:val="FootnoteReference"/>
          <w:rFonts w:ascii="Times New Roman" w:hAnsi="Times New Roman" w:cs="Times New Roman"/>
          <w:sz w:val="24"/>
          <w:szCs w:val="24"/>
        </w:rPr>
        <w:footnoteReference w:id="2"/>
      </w:r>
      <w:r w:rsidRPr="003C6B8D">
        <w:rPr>
          <w:rFonts w:ascii="Times New Roman" w:hAnsi="Times New Roman" w:cs="Times New Roman"/>
          <w:sz w:val="24"/>
          <w:szCs w:val="24"/>
        </w:rPr>
        <w:t xml:space="preserve"> dan salah satu metode yang dikembangkan ol</w:t>
      </w:r>
      <w:r w:rsidR="00BB2F5D" w:rsidRPr="003C6B8D">
        <w:rPr>
          <w:rFonts w:ascii="Times New Roman" w:hAnsi="Times New Roman" w:cs="Times New Roman"/>
          <w:sz w:val="24"/>
          <w:szCs w:val="24"/>
        </w:rPr>
        <w:t>eh ulama ushul dalam mengistinbā</w:t>
      </w:r>
      <w:r w:rsidRPr="003C6B8D">
        <w:rPr>
          <w:rFonts w:ascii="Times New Roman" w:hAnsi="Times New Roman" w:cs="Times New Roman"/>
          <w:sz w:val="24"/>
          <w:szCs w:val="24"/>
        </w:rPr>
        <w:t xml:space="preserve">tkan hukum dari nash adalah dengan </w:t>
      </w:r>
      <w:r w:rsidR="00A91296" w:rsidRPr="003C6B8D">
        <w:rPr>
          <w:rFonts w:ascii="Times New Roman" w:hAnsi="Times New Roman" w:cs="Times New Roman"/>
          <w:sz w:val="24"/>
          <w:szCs w:val="24"/>
        </w:rPr>
        <w:t xml:space="preserve">pendekatan </w:t>
      </w:r>
      <w:r w:rsidR="00A91296" w:rsidRPr="003C6B8D">
        <w:rPr>
          <w:rFonts w:ascii="Times New Roman" w:hAnsi="Times New Roman" w:cs="Times New Roman"/>
          <w:sz w:val="24"/>
          <w:szCs w:val="24"/>
        </w:rPr>
        <w:lastRenderedPageBreak/>
        <w:t>ke</w:t>
      </w:r>
      <w:r w:rsidRPr="003C6B8D">
        <w:rPr>
          <w:rFonts w:ascii="Times New Roman" w:hAnsi="Times New Roman" w:cs="Times New Roman"/>
          <w:sz w:val="24"/>
          <w:szCs w:val="24"/>
        </w:rPr>
        <w:t>maslahat</w:t>
      </w:r>
      <w:r w:rsidR="00A91296" w:rsidRPr="003C6B8D">
        <w:rPr>
          <w:rFonts w:ascii="Times New Roman" w:hAnsi="Times New Roman" w:cs="Times New Roman"/>
          <w:sz w:val="24"/>
          <w:szCs w:val="24"/>
        </w:rPr>
        <w:t>an</w:t>
      </w:r>
      <w:r w:rsidR="00343F01" w:rsidRPr="003C6B8D">
        <w:rPr>
          <w:rFonts w:ascii="Times New Roman" w:hAnsi="Times New Roman" w:cs="Times New Roman"/>
          <w:sz w:val="24"/>
          <w:szCs w:val="24"/>
        </w:rPr>
        <w:t>, ya</w:t>
      </w:r>
      <w:r w:rsidR="00852EAB" w:rsidRPr="003C6B8D">
        <w:rPr>
          <w:rFonts w:ascii="Times New Roman" w:hAnsi="Times New Roman" w:cs="Times New Roman"/>
          <w:sz w:val="24"/>
          <w:szCs w:val="24"/>
        </w:rPr>
        <w:t xml:space="preserve">ng bertujuan </w:t>
      </w:r>
      <w:r w:rsidR="00343F01" w:rsidRPr="003C6B8D">
        <w:rPr>
          <w:rFonts w:ascii="Times New Roman" w:hAnsi="Times New Roman" w:cs="Times New Roman"/>
          <w:sz w:val="24"/>
          <w:szCs w:val="24"/>
        </w:rPr>
        <w:t>mendatangkan manfaat yang mencakup segala daya upaya dalam mencapai sesuatu yang dipandang positif a</w:t>
      </w:r>
      <w:r w:rsidR="00852EAB" w:rsidRPr="003C6B8D">
        <w:rPr>
          <w:rFonts w:ascii="Times New Roman" w:hAnsi="Times New Roman" w:cs="Times New Roman"/>
          <w:sz w:val="24"/>
          <w:szCs w:val="24"/>
        </w:rPr>
        <w:t>tau menolak dan menghindari ses</w:t>
      </w:r>
      <w:r w:rsidR="00343F01" w:rsidRPr="003C6B8D">
        <w:rPr>
          <w:rFonts w:ascii="Times New Roman" w:hAnsi="Times New Roman" w:cs="Times New Roman"/>
          <w:sz w:val="24"/>
          <w:szCs w:val="24"/>
        </w:rPr>
        <w:t>uatu yang dipandang negatif.</w:t>
      </w:r>
      <w:r w:rsidR="00343F01" w:rsidRPr="003C6B8D">
        <w:rPr>
          <w:rStyle w:val="FootnoteReference"/>
          <w:rFonts w:ascii="Times New Roman" w:hAnsi="Times New Roman" w:cs="Times New Roman"/>
          <w:sz w:val="24"/>
          <w:szCs w:val="24"/>
        </w:rPr>
        <w:footnoteReference w:id="3"/>
      </w:r>
      <w:r w:rsidR="00343F01" w:rsidRPr="003C6B8D">
        <w:rPr>
          <w:rFonts w:ascii="Times New Roman" w:hAnsi="Times New Roman" w:cs="Times New Roman"/>
          <w:sz w:val="24"/>
          <w:szCs w:val="24"/>
        </w:rPr>
        <w:t xml:space="preserve">  </w:t>
      </w:r>
    </w:p>
    <w:p w:rsidR="00962335" w:rsidRPr="003C6B8D" w:rsidRDefault="0023445B"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P</w:t>
      </w:r>
      <w:r w:rsidR="005926E4" w:rsidRPr="003C6B8D">
        <w:rPr>
          <w:rFonts w:ascii="Times New Roman" w:hAnsi="Times New Roman" w:cs="Times New Roman"/>
          <w:sz w:val="24"/>
          <w:szCs w:val="24"/>
        </w:rPr>
        <w:t xml:space="preserve">enggunaan kata </w:t>
      </w:r>
      <w:r w:rsidR="009C15F5" w:rsidRPr="003C6B8D">
        <w:rPr>
          <w:rFonts w:ascii="Times New Roman" w:hAnsi="Times New Roman" w:cs="Times New Roman"/>
          <w:sz w:val="24"/>
          <w:szCs w:val="24"/>
        </w:rPr>
        <w:t>maslahat</w:t>
      </w:r>
      <w:r w:rsidR="005926E4" w:rsidRPr="003C6B8D">
        <w:rPr>
          <w:rFonts w:ascii="Times New Roman" w:hAnsi="Times New Roman" w:cs="Times New Roman"/>
          <w:sz w:val="24"/>
          <w:szCs w:val="24"/>
        </w:rPr>
        <w:t xml:space="preserve"> pada periode a</w:t>
      </w:r>
      <w:r w:rsidRPr="003C6B8D">
        <w:rPr>
          <w:rFonts w:ascii="Times New Roman" w:hAnsi="Times New Roman" w:cs="Times New Roman"/>
          <w:sz w:val="24"/>
          <w:szCs w:val="24"/>
        </w:rPr>
        <w:t>wal dan dalam al-Qur’an</w:t>
      </w:r>
      <w:r w:rsidR="00852EAB" w:rsidRPr="003C6B8D">
        <w:rPr>
          <w:rFonts w:ascii="Times New Roman" w:hAnsi="Times New Roman" w:cs="Times New Roman"/>
          <w:sz w:val="24"/>
          <w:szCs w:val="24"/>
        </w:rPr>
        <w:t xml:space="preserve"> sendiri</w:t>
      </w:r>
      <w:r w:rsidRPr="003C6B8D">
        <w:rPr>
          <w:rFonts w:ascii="Times New Roman" w:hAnsi="Times New Roman" w:cs="Times New Roman"/>
          <w:sz w:val="24"/>
          <w:szCs w:val="24"/>
        </w:rPr>
        <w:t xml:space="preserve"> berarti kebaikan dan kemanfaatan, tetapi kata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belum menjadi istilah te</w:t>
      </w:r>
      <w:r w:rsidR="00A93D55" w:rsidRPr="003C6B8D">
        <w:rPr>
          <w:rFonts w:ascii="Times New Roman" w:hAnsi="Times New Roman" w:cs="Times New Roman"/>
          <w:sz w:val="24"/>
          <w:szCs w:val="24"/>
        </w:rPr>
        <w:t>k</w:t>
      </w:r>
      <w:r w:rsidRPr="003C6B8D">
        <w:rPr>
          <w:rFonts w:ascii="Times New Roman" w:hAnsi="Times New Roman" w:cs="Times New Roman"/>
          <w:sz w:val="24"/>
          <w:szCs w:val="24"/>
        </w:rPr>
        <w:t xml:space="preserve">hnis sampai kata ini dikaitkan dengan  para juris Islam dari aliran hukum klasik pada masa awal atau bahkan dikaitkan dengan para sahabat </w:t>
      </w:r>
      <w:r w:rsidR="00E445D1" w:rsidRPr="003C6B8D">
        <w:rPr>
          <w:rFonts w:ascii="Times New Roman" w:hAnsi="Times New Roman" w:cs="Times New Roman"/>
          <w:sz w:val="24"/>
          <w:szCs w:val="24"/>
        </w:rPr>
        <w:t>N</w:t>
      </w:r>
      <w:r w:rsidRPr="003C6B8D">
        <w:rPr>
          <w:rFonts w:ascii="Times New Roman" w:hAnsi="Times New Roman" w:cs="Times New Roman"/>
          <w:sz w:val="24"/>
          <w:szCs w:val="24"/>
        </w:rPr>
        <w:t>abi. Di kalangan para pendi</w:t>
      </w:r>
      <w:r w:rsidR="00852EAB" w:rsidRPr="003C6B8D">
        <w:rPr>
          <w:rFonts w:ascii="Times New Roman" w:hAnsi="Times New Roman" w:cs="Times New Roman"/>
          <w:sz w:val="24"/>
          <w:szCs w:val="24"/>
        </w:rPr>
        <w:t>ri aliran-aliran hukum, penggun</w:t>
      </w:r>
      <w:r w:rsidRPr="003C6B8D">
        <w:rPr>
          <w:rFonts w:ascii="Times New Roman" w:hAnsi="Times New Roman" w:cs="Times New Roman"/>
          <w:sz w:val="24"/>
          <w:szCs w:val="24"/>
        </w:rPr>
        <w:t xml:space="preserve">aan kata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dikaitkan dengan Imam M</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lik bin </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nas sekalipun dalam pengertian yang umum seperti kata al-</w:t>
      </w:r>
      <w:r w:rsidR="00BB2F5D" w:rsidRPr="003C6B8D">
        <w:rPr>
          <w:rFonts w:ascii="Times New Roman" w:hAnsi="Times New Roman" w:cs="Times New Roman"/>
          <w:sz w:val="24"/>
          <w:szCs w:val="24"/>
        </w:rPr>
        <w:t>R</w:t>
      </w:r>
      <w:r w:rsidRPr="003C6B8D">
        <w:rPr>
          <w:rFonts w:ascii="Times New Roman" w:hAnsi="Times New Roman" w:cs="Times New Roman"/>
          <w:sz w:val="24"/>
          <w:szCs w:val="24"/>
        </w:rPr>
        <w:t>a’yu.</w:t>
      </w:r>
      <w:r w:rsidR="000B45C1">
        <w:rPr>
          <w:rStyle w:val="FootnoteReference"/>
          <w:rFonts w:ascii="Times New Roman" w:hAnsi="Times New Roman" w:cs="Times New Roman"/>
          <w:sz w:val="24"/>
          <w:szCs w:val="24"/>
        </w:rPr>
        <w:footnoteReference w:id="4"/>
      </w:r>
      <w:r w:rsidRPr="003C6B8D">
        <w:rPr>
          <w:rFonts w:ascii="Times New Roman" w:hAnsi="Times New Roman" w:cs="Times New Roman"/>
          <w:sz w:val="24"/>
          <w:szCs w:val="24"/>
        </w:rPr>
        <w:t xml:space="preserve"> </w:t>
      </w:r>
    </w:p>
    <w:p w:rsidR="00852EAB" w:rsidRPr="003C6B8D" w:rsidRDefault="005377FA"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Al-Juw</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iny mengatakan bahwa validitas pemikiran yang didasarkan pada </w:t>
      </w:r>
      <w:r w:rsidR="009C15F5" w:rsidRPr="003C6B8D">
        <w:rPr>
          <w:rFonts w:ascii="Times New Roman" w:hAnsi="Times New Roman" w:cs="Times New Roman"/>
          <w:sz w:val="24"/>
          <w:szCs w:val="24"/>
        </w:rPr>
        <w:t>maslahat</w:t>
      </w:r>
      <w:r w:rsidR="00BB2F5D" w:rsidRPr="003C6B8D">
        <w:rPr>
          <w:rFonts w:ascii="Times New Roman" w:hAnsi="Times New Roman" w:cs="Times New Roman"/>
          <w:sz w:val="24"/>
          <w:szCs w:val="24"/>
        </w:rPr>
        <w:t xml:space="preserve"> merupakan problem</w:t>
      </w:r>
      <w:r w:rsidRPr="003C6B8D">
        <w:rPr>
          <w:rFonts w:ascii="Times New Roman" w:hAnsi="Times New Roman" w:cs="Times New Roman"/>
          <w:sz w:val="24"/>
          <w:szCs w:val="24"/>
        </w:rPr>
        <w:t xml:space="preserve"> yang cukup kontroversial yang meni</w:t>
      </w:r>
      <w:r w:rsidR="00164A28" w:rsidRPr="003C6B8D">
        <w:rPr>
          <w:rFonts w:ascii="Times New Roman" w:hAnsi="Times New Roman" w:cs="Times New Roman"/>
          <w:sz w:val="24"/>
          <w:szCs w:val="24"/>
        </w:rPr>
        <w:t>m</w:t>
      </w:r>
      <w:r w:rsidRPr="003C6B8D">
        <w:rPr>
          <w:rFonts w:ascii="Times New Roman" w:hAnsi="Times New Roman" w:cs="Times New Roman"/>
          <w:sz w:val="24"/>
          <w:szCs w:val="24"/>
        </w:rPr>
        <w:t>bulkan tiga aliran pemik</w:t>
      </w:r>
      <w:r w:rsidR="00BB2F5D" w:rsidRPr="003C6B8D">
        <w:rPr>
          <w:rFonts w:ascii="Times New Roman" w:hAnsi="Times New Roman" w:cs="Times New Roman"/>
          <w:sz w:val="24"/>
          <w:szCs w:val="24"/>
        </w:rPr>
        <w:t>iran yaitu sejumlah pengikut Syā</w:t>
      </w:r>
      <w:r w:rsidRPr="003C6B8D">
        <w:rPr>
          <w:rFonts w:ascii="Times New Roman" w:hAnsi="Times New Roman" w:cs="Times New Roman"/>
          <w:sz w:val="24"/>
          <w:szCs w:val="24"/>
        </w:rPr>
        <w:t xml:space="preserve">fi’i dan mutakallimin mempertahankan bahwa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yang dapat diterima hanyalah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yang mempu</w:t>
      </w:r>
      <w:r w:rsidR="00BB2F5D" w:rsidRPr="003C6B8D">
        <w:rPr>
          <w:rFonts w:ascii="Times New Roman" w:hAnsi="Times New Roman" w:cs="Times New Roman"/>
          <w:sz w:val="24"/>
          <w:szCs w:val="24"/>
        </w:rPr>
        <w:t>nyai landasan tekstual khusus (a</w:t>
      </w:r>
      <w:r w:rsidRPr="003C6B8D">
        <w:rPr>
          <w:rFonts w:ascii="Times New Roman" w:hAnsi="Times New Roman" w:cs="Times New Roman"/>
          <w:sz w:val="24"/>
          <w:szCs w:val="24"/>
        </w:rPr>
        <w:t>sl), mursalah tidak dapat didasarkan pada asl karena bertentangan dengan dalil.</w:t>
      </w:r>
      <w:r w:rsidR="003C6B8D">
        <w:rPr>
          <w:rStyle w:val="FootnoteReference"/>
          <w:rFonts w:ascii="Times New Roman" w:hAnsi="Times New Roman" w:cs="Times New Roman"/>
          <w:sz w:val="24"/>
          <w:szCs w:val="24"/>
        </w:rPr>
        <w:footnoteReference w:id="5"/>
      </w:r>
      <w:r w:rsidRPr="003C6B8D">
        <w:rPr>
          <w:rFonts w:ascii="Times New Roman" w:hAnsi="Times New Roman" w:cs="Times New Roman"/>
          <w:sz w:val="24"/>
          <w:szCs w:val="24"/>
        </w:rPr>
        <w:t xml:space="preserve"> Aliran kedua dikaitkan dengan Sy</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fi’i dan mayoritas Han</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fi, mereka yakin bahwa </w:t>
      </w:r>
      <w:r w:rsidR="00164A28" w:rsidRPr="003C6B8D">
        <w:rPr>
          <w:rFonts w:ascii="Times New Roman" w:hAnsi="Times New Roman" w:cs="Times New Roman"/>
          <w:sz w:val="24"/>
          <w:szCs w:val="24"/>
        </w:rPr>
        <w:t xml:space="preserve">sekalipun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tidak didukung oleh landasan spesifik masih dapat digunakan asalkan sa</w:t>
      </w:r>
      <w:r w:rsidR="00164A28" w:rsidRPr="003C6B8D">
        <w:rPr>
          <w:rFonts w:ascii="Times New Roman" w:hAnsi="Times New Roman" w:cs="Times New Roman"/>
          <w:sz w:val="24"/>
          <w:szCs w:val="24"/>
        </w:rPr>
        <w:t>m</w:t>
      </w:r>
      <w:r w:rsidRPr="003C6B8D">
        <w:rPr>
          <w:rFonts w:ascii="Times New Roman" w:hAnsi="Times New Roman" w:cs="Times New Roman"/>
          <w:sz w:val="24"/>
          <w:szCs w:val="24"/>
        </w:rPr>
        <w:t>a dengan mas</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lih yang secara bulat diterima atau </w:t>
      </w:r>
      <w:r w:rsidR="00164A28" w:rsidRPr="003C6B8D">
        <w:rPr>
          <w:rFonts w:ascii="Times New Roman" w:hAnsi="Times New Roman" w:cs="Times New Roman"/>
          <w:sz w:val="24"/>
          <w:szCs w:val="24"/>
        </w:rPr>
        <w:t>d</w:t>
      </w:r>
      <w:r w:rsidRPr="003C6B8D">
        <w:rPr>
          <w:rFonts w:ascii="Times New Roman" w:hAnsi="Times New Roman" w:cs="Times New Roman"/>
          <w:sz w:val="24"/>
          <w:szCs w:val="24"/>
        </w:rPr>
        <w:t>idukung oleh nash. Aliran ketiga dikaitkan dengan M</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lik yang </w:t>
      </w:r>
      <w:r w:rsidR="00BB2F5D" w:rsidRPr="003C6B8D">
        <w:rPr>
          <w:rFonts w:ascii="Times New Roman" w:hAnsi="Times New Roman" w:cs="Times New Roman"/>
          <w:sz w:val="24"/>
          <w:szCs w:val="24"/>
        </w:rPr>
        <w:t>b</w:t>
      </w:r>
      <w:r w:rsidRPr="003C6B8D">
        <w:rPr>
          <w:rFonts w:ascii="Times New Roman" w:hAnsi="Times New Roman" w:cs="Times New Roman"/>
          <w:sz w:val="24"/>
          <w:szCs w:val="24"/>
        </w:rPr>
        <w:t>e</w:t>
      </w:r>
      <w:r w:rsidR="00BB2F5D" w:rsidRPr="003C6B8D">
        <w:rPr>
          <w:rFonts w:ascii="Times New Roman" w:hAnsi="Times New Roman" w:cs="Times New Roman"/>
          <w:sz w:val="24"/>
          <w:szCs w:val="24"/>
        </w:rPr>
        <w:t>rp</w:t>
      </w:r>
      <w:r w:rsidRPr="003C6B8D">
        <w:rPr>
          <w:rFonts w:ascii="Times New Roman" w:hAnsi="Times New Roman" w:cs="Times New Roman"/>
          <w:sz w:val="24"/>
          <w:szCs w:val="24"/>
        </w:rPr>
        <w:t xml:space="preserve">egang bahwa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diadakan tanpa adanya pertimbangan </w:t>
      </w:r>
      <w:r w:rsidR="00164A28" w:rsidRPr="003C6B8D">
        <w:rPr>
          <w:rFonts w:ascii="Times New Roman" w:hAnsi="Times New Roman" w:cs="Times New Roman"/>
          <w:sz w:val="24"/>
          <w:szCs w:val="24"/>
        </w:rPr>
        <w:t xml:space="preserve">kondisi yang menyerupai atau apakah </w:t>
      </w:r>
      <w:r w:rsidR="009C15F5" w:rsidRPr="003C6B8D">
        <w:rPr>
          <w:rFonts w:ascii="Times New Roman" w:hAnsi="Times New Roman" w:cs="Times New Roman"/>
          <w:sz w:val="24"/>
          <w:szCs w:val="24"/>
        </w:rPr>
        <w:t>maslahat</w:t>
      </w:r>
      <w:r w:rsidR="00164A28" w:rsidRPr="003C6B8D">
        <w:rPr>
          <w:rFonts w:ascii="Times New Roman" w:hAnsi="Times New Roman" w:cs="Times New Roman"/>
          <w:sz w:val="24"/>
          <w:szCs w:val="24"/>
        </w:rPr>
        <w:t xml:space="preserve"> itu terkait dengan teks atau tidak.</w:t>
      </w:r>
      <w:r w:rsidR="00164A28" w:rsidRPr="003C6B8D">
        <w:rPr>
          <w:rStyle w:val="FootnoteReference"/>
          <w:rFonts w:ascii="Times New Roman" w:hAnsi="Times New Roman" w:cs="Times New Roman"/>
          <w:sz w:val="24"/>
          <w:szCs w:val="24"/>
        </w:rPr>
        <w:footnoteReference w:id="6"/>
      </w:r>
    </w:p>
    <w:p w:rsidR="00D64283" w:rsidRPr="003C6B8D" w:rsidRDefault="00852EAB"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 xml:space="preserve">Berdasarkan </w:t>
      </w:r>
      <w:r w:rsidR="009C15F5" w:rsidRPr="003C6B8D">
        <w:rPr>
          <w:rFonts w:ascii="Times New Roman" w:hAnsi="Times New Roman" w:cs="Times New Roman"/>
          <w:sz w:val="24"/>
          <w:szCs w:val="24"/>
        </w:rPr>
        <w:t>faktor-faktor yang telah di</w:t>
      </w:r>
      <w:r w:rsidRPr="003C6B8D">
        <w:rPr>
          <w:rFonts w:ascii="Times New Roman" w:hAnsi="Times New Roman" w:cs="Times New Roman"/>
          <w:sz w:val="24"/>
          <w:szCs w:val="24"/>
        </w:rPr>
        <w:t>uraia</w:t>
      </w:r>
      <w:r w:rsidR="009C15F5" w:rsidRPr="003C6B8D">
        <w:rPr>
          <w:rFonts w:ascii="Times New Roman" w:hAnsi="Times New Roman" w:cs="Times New Roman"/>
          <w:sz w:val="24"/>
          <w:szCs w:val="24"/>
        </w:rPr>
        <w:t>ka</w:t>
      </w:r>
      <w:r w:rsidRPr="003C6B8D">
        <w:rPr>
          <w:rFonts w:ascii="Times New Roman" w:hAnsi="Times New Roman" w:cs="Times New Roman"/>
          <w:sz w:val="24"/>
          <w:szCs w:val="24"/>
        </w:rPr>
        <w:t xml:space="preserve">n </w:t>
      </w:r>
      <w:r w:rsidR="009C15F5" w:rsidRPr="003C6B8D">
        <w:rPr>
          <w:rFonts w:ascii="Times New Roman" w:hAnsi="Times New Roman" w:cs="Times New Roman"/>
          <w:sz w:val="24"/>
          <w:szCs w:val="24"/>
        </w:rPr>
        <w:t xml:space="preserve">pada latar belakang di atas, maka </w:t>
      </w:r>
      <w:r w:rsidRPr="003C6B8D">
        <w:rPr>
          <w:rFonts w:ascii="Times New Roman" w:hAnsi="Times New Roman" w:cs="Times New Roman"/>
          <w:sz w:val="24"/>
          <w:szCs w:val="24"/>
        </w:rPr>
        <w:t xml:space="preserve">pembahasan </w:t>
      </w:r>
      <w:r w:rsidR="009C15F5" w:rsidRPr="003C6B8D">
        <w:rPr>
          <w:rFonts w:ascii="Times New Roman" w:hAnsi="Times New Roman" w:cs="Times New Roman"/>
          <w:sz w:val="24"/>
          <w:szCs w:val="24"/>
        </w:rPr>
        <w:t>makalah ini</w:t>
      </w:r>
      <w:r w:rsidR="00164A28" w:rsidRPr="003C6B8D">
        <w:rPr>
          <w:rFonts w:ascii="Times New Roman" w:hAnsi="Times New Roman" w:cs="Times New Roman"/>
          <w:sz w:val="24"/>
          <w:szCs w:val="24"/>
        </w:rPr>
        <w:t xml:space="preserve"> akan </w:t>
      </w:r>
      <w:r w:rsidRPr="003C6B8D">
        <w:rPr>
          <w:rFonts w:ascii="Times New Roman" w:hAnsi="Times New Roman" w:cs="Times New Roman"/>
          <w:sz w:val="24"/>
          <w:szCs w:val="24"/>
        </w:rPr>
        <w:t>dite</w:t>
      </w:r>
      <w:r w:rsidR="002C012F" w:rsidRPr="003C6B8D">
        <w:rPr>
          <w:rFonts w:ascii="Times New Roman" w:hAnsi="Times New Roman" w:cs="Times New Roman"/>
          <w:sz w:val="24"/>
          <w:szCs w:val="24"/>
        </w:rPr>
        <w:t>k</w:t>
      </w:r>
      <w:r w:rsidRPr="003C6B8D">
        <w:rPr>
          <w:rFonts w:ascii="Times New Roman" w:hAnsi="Times New Roman" w:cs="Times New Roman"/>
          <w:sz w:val="24"/>
          <w:szCs w:val="24"/>
        </w:rPr>
        <w:t>ankan pada</w:t>
      </w:r>
      <w:r w:rsidR="00164A28" w:rsidRPr="003C6B8D">
        <w:rPr>
          <w:rFonts w:ascii="Times New Roman" w:hAnsi="Times New Roman" w:cs="Times New Roman"/>
          <w:sz w:val="24"/>
          <w:szCs w:val="24"/>
        </w:rPr>
        <w:t xml:space="preserve"> </w:t>
      </w:r>
      <w:r w:rsidR="009C15F5" w:rsidRPr="003C6B8D">
        <w:rPr>
          <w:rFonts w:ascii="Times New Roman" w:hAnsi="Times New Roman" w:cs="Times New Roman"/>
          <w:sz w:val="24"/>
          <w:szCs w:val="24"/>
        </w:rPr>
        <w:t xml:space="preserve">corak </w:t>
      </w:r>
      <w:r w:rsidR="00164A28" w:rsidRPr="003C6B8D">
        <w:rPr>
          <w:rFonts w:ascii="Times New Roman" w:hAnsi="Times New Roman" w:cs="Times New Roman"/>
          <w:sz w:val="24"/>
          <w:szCs w:val="24"/>
        </w:rPr>
        <w:t xml:space="preserve">pemikiran </w:t>
      </w:r>
      <w:r w:rsidR="009C15F5" w:rsidRPr="003C6B8D">
        <w:rPr>
          <w:rFonts w:ascii="Times New Roman" w:hAnsi="Times New Roman" w:cs="Times New Roman"/>
          <w:sz w:val="24"/>
          <w:szCs w:val="24"/>
        </w:rPr>
        <w:t>maslahat</w:t>
      </w:r>
      <w:r w:rsidR="00164A28" w:rsidRPr="003C6B8D">
        <w:rPr>
          <w:rFonts w:ascii="Times New Roman" w:hAnsi="Times New Roman" w:cs="Times New Roman"/>
          <w:sz w:val="24"/>
          <w:szCs w:val="24"/>
        </w:rPr>
        <w:t xml:space="preserve"> Im</w:t>
      </w:r>
      <w:r w:rsidR="00BB2F5D" w:rsidRPr="003C6B8D">
        <w:rPr>
          <w:rFonts w:ascii="Times New Roman" w:hAnsi="Times New Roman" w:cs="Times New Roman"/>
          <w:sz w:val="24"/>
          <w:szCs w:val="24"/>
        </w:rPr>
        <w:t xml:space="preserve">ām </w:t>
      </w:r>
      <w:r w:rsidR="00BB2F5D" w:rsidRPr="003C6B8D">
        <w:rPr>
          <w:rFonts w:ascii="Times New Roman" w:hAnsi="Times New Roman" w:cs="Times New Roman"/>
          <w:sz w:val="24"/>
          <w:szCs w:val="24"/>
        </w:rPr>
        <w:lastRenderedPageBreak/>
        <w:t>Mā</w:t>
      </w:r>
      <w:r w:rsidR="00164A28" w:rsidRPr="003C6B8D">
        <w:rPr>
          <w:rFonts w:ascii="Times New Roman" w:hAnsi="Times New Roman" w:cs="Times New Roman"/>
          <w:sz w:val="24"/>
          <w:szCs w:val="24"/>
        </w:rPr>
        <w:t>lik</w:t>
      </w:r>
      <w:r w:rsidR="000968F4" w:rsidRPr="003C6B8D">
        <w:rPr>
          <w:rFonts w:ascii="Times New Roman" w:hAnsi="Times New Roman" w:cs="Times New Roman"/>
          <w:sz w:val="24"/>
          <w:szCs w:val="24"/>
          <w:lang w:val="id-ID"/>
        </w:rPr>
        <w:t>, Imam Al Ghazali dan Imam al Tufy</w:t>
      </w:r>
      <w:r w:rsidR="00F1274B" w:rsidRPr="003C6B8D">
        <w:rPr>
          <w:rFonts w:ascii="Times New Roman" w:hAnsi="Times New Roman" w:cs="Times New Roman"/>
          <w:sz w:val="24"/>
          <w:szCs w:val="24"/>
        </w:rPr>
        <w:t xml:space="preserve"> dengan pemikiran maslaha</w:t>
      </w:r>
      <w:r w:rsidR="000968F4" w:rsidRPr="003C6B8D">
        <w:rPr>
          <w:rFonts w:ascii="Times New Roman" w:hAnsi="Times New Roman" w:cs="Times New Roman"/>
          <w:sz w:val="24"/>
          <w:szCs w:val="24"/>
          <w:lang w:val="id-ID"/>
        </w:rPr>
        <w:t>h</w:t>
      </w:r>
      <w:r w:rsidR="00F1274B" w:rsidRPr="003C6B8D">
        <w:rPr>
          <w:rFonts w:ascii="Times New Roman" w:hAnsi="Times New Roman" w:cs="Times New Roman"/>
          <w:sz w:val="24"/>
          <w:szCs w:val="24"/>
        </w:rPr>
        <w:t xml:space="preserve"> mursalahnya</w:t>
      </w:r>
      <w:r w:rsidR="00164A28" w:rsidRPr="003C6B8D">
        <w:rPr>
          <w:rFonts w:ascii="Times New Roman" w:hAnsi="Times New Roman" w:cs="Times New Roman"/>
          <w:sz w:val="24"/>
          <w:szCs w:val="24"/>
        </w:rPr>
        <w:t>,</w:t>
      </w:r>
      <w:r w:rsidR="005F20C8" w:rsidRPr="003C6B8D">
        <w:rPr>
          <w:rFonts w:ascii="Times New Roman" w:hAnsi="Times New Roman" w:cs="Times New Roman"/>
          <w:sz w:val="24"/>
          <w:szCs w:val="24"/>
        </w:rPr>
        <w:t xml:space="preserve"> </w:t>
      </w:r>
      <w:r w:rsidR="00F1274B" w:rsidRPr="003C6B8D">
        <w:rPr>
          <w:rFonts w:ascii="Times New Roman" w:hAnsi="Times New Roman" w:cs="Times New Roman"/>
          <w:sz w:val="24"/>
          <w:szCs w:val="24"/>
        </w:rPr>
        <w:t xml:space="preserve">bagaimana </w:t>
      </w:r>
      <w:r w:rsidR="00EE4C6F" w:rsidRPr="003C6B8D">
        <w:rPr>
          <w:rFonts w:ascii="Times New Roman" w:hAnsi="Times New Roman" w:cs="Times New Roman"/>
          <w:sz w:val="24"/>
          <w:szCs w:val="24"/>
        </w:rPr>
        <w:t xml:space="preserve">kehujjaan </w:t>
      </w:r>
      <w:r w:rsidR="00F1274B" w:rsidRPr="003C6B8D">
        <w:rPr>
          <w:rFonts w:ascii="Times New Roman" w:hAnsi="Times New Roman" w:cs="Times New Roman"/>
          <w:sz w:val="24"/>
          <w:szCs w:val="24"/>
        </w:rPr>
        <w:t xml:space="preserve">maslahata mursalah </w:t>
      </w:r>
      <w:r w:rsidR="00EE4C6F" w:rsidRPr="003C6B8D">
        <w:rPr>
          <w:rFonts w:ascii="Times New Roman" w:hAnsi="Times New Roman" w:cs="Times New Roman"/>
          <w:sz w:val="24"/>
          <w:szCs w:val="24"/>
        </w:rPr>
        <w:t xml:space="preserve">dan </w:t>
      </w:r>
      <w:r w:rsidR="00F1274B" w:rsidRPr="003C6B8D">
        <w:rPr>
          <w:rFonts w:ascii="Times New Roman" w:hAnsi="Times New Roman" w:cs="Times New Roman"/>
          <w:sz w:val="24"/>
          <w:szCs w:val="24"/>
        </w:rPr>
        <w:t xml:space="preserve">urgensi maslahat mursalah dan </w:t>
      </w:r>
      <w:r w:rsidR="00EE4C6F" w:rsidRPr="003C6B8D">
        <w:rPr>
          <w:rFonts w:ascii="Times New Roman" w:hAnsi="Times New Roman" w:cs="Times New Roman"/>
          <w:sz w:val="24"/>
          <w:szCs w:val="24"/>
        </w:rPr>
        <w:t>penerapan</w:t>
      </w:r>
      <w:r w:rsidR="00F1274B" w:rsidRPr="003C6B8D">
        <w:rPr>
          <w:rFonts w:ascii="Times New Roman" w:hAnsi="Times New Roman" w:cs="Times New Roman"/>
          <w:sz w:val="24"/>
          <w:szCs w:val="24"/>
        </w:rPr>
        <w:t>nya</w:t>
      </w:r>
      <w:r w:rsidR="00EE4C6F" w:rsidRPr="003C6B8D">
        <w:rPr>
          <w:rFonts w:ascii="Times New Roman" w:hAnsi="Times New Roman" w:cs="Times New Roman"/>
          <w:sz w:val="24"/>
          <w:szCs w:val="24"/>
        </w:rPr>
        <w:t xml:space="preserve"> </w:t>
      </w:r>
      <w:r w:rsidR="00F1274B" w:rsidRPr="003C6B8D">
        <w:rPr>
          <w:rFonts w:ascii="Times New Roman" w:hAnsi="Times New Roman" w:cs="Times New Roman"/>
          <w:sz w:val="24"/>
          <w:szCs w:val="24"/>
        </w:rPr>
        <w:t xml:space="preserve">dalam konteks kehidupan </w:t>
      </w:r>
      <w:r w:rsidR="00AD2CA8" w:rsidRPr="003C6B8D">
        <w:rPr>
          <w:rFonts w:ascii="Times New Roman" w:hAnsi="Times New Roman" w:cs="Times New Roman"/>
          <w:sz w:val="24"/>
          <w:szCs w:val="24"/>
        </w:rPr>
        <w:t>dewasa ini</w:t>
      </w:r>
      <w:r w:rsidR="00EE4C6F" w:rsidRPr="003C6B8D">
        <w:rPr>
          <w:rFonts w:ascii="Times New Roman" w:hAnsi="Times New Roman" w:cs="Times New Roman"/>
          <w:sz w:val="24"/>
          <w:szCs w:val="24"/>
        </w:rPr>
        <w:t>.</w:t>
      </w:r>
      <w:r w:rsidR="00AD2CA8" w:rsidRPr="003C6B8D">
        <w:rPr>
          <w:rStyle w:val="FootnoteReference"/>
          <w:rFonts w:ascii="Times New Roman" w:hAnsi="Times New Roman" w:cs="Times New Roman"/>
          <w:sz w:val="24"/>
          <w:szCs w:val="24"/>
        </w:rPr>
        <w:footnoteReference w:id="7"/>
      </w:r>
    </w:p>
    <w:p w:rsidR="00847C78" w:rsidRDefault="00852EAB" w:rsidP="000D02F5">
      <w:pPr>
        <w:pStyle w:val="ListParagraph"/>
        <w:spacing w:line="360" w:lineRule="auto"/>
        <w:ind w:left="0"/>
        <w:jc w:val="both"/>
        <w:rPr>
          <w:rFonts w:ascii="Times New Roman" w:hAnsi="Times New Roman" w:cs="Times New Roman"/>
          <w:b/>
          <w:bCs/>
          <w:iCs/>
          <w:sz w:val="24"/>
          <w:szCs w:val="24"/>
          <w:lang w:val="id-ID"/>
        </w:rPr>
      </w:pPr>
      <w:r w:rsidRPr="003C6B8D">
        <w:rPr>
          <w:rFonts w:ascii="Times New Roman" w:hAnsi="Times New Roman" w:cs="Times New Roman"/>
          <w:b/>
          <w:bCs/>
          <w:iCs/>
          <w:sz w:val="24"/>
          <w:szCs w:val="24"/>
        </w:rPr>
        <w:t>Pembahasan</w:t>
      </w:r>
    </w:p>
    <w:p w:rsidR="00C0527C" w:rsidRPr="00847C78" w:rsidRDefault="00C0527C" w:rsidP="000D02F5">
      <w:pPr>
        <w:pStyle w:val="ListParagraph"/>
        <w:numPr>
          <w:ilvl w:val="0"/>
          <w:numId w:val="1"/>
        </w:numPr>
        <w:spacing w:line="360" w:lineRule="auto"/>
        <w:jc w:val="both"/>
        <w:rPr>
          <w:rFonts w:ascii="Times New Roman" w:hAnsi="Times New Roman" w:cs="Times New Roman"/>
          <w:b/>
          <w:bCs/>
          <w:iCs/>
          <w:sz w:val="24"/>
          <w:szCs w:val="24"/>
          <w:lang w:val="id-ID"/>
        </w:rPr>
      </w:pPr>
      <w:r w:rsidRPr="00847C78">
        <w:rPr>
          <w:rFonts w:ascii="Times New Roman" w:hAnsi="Times New Roman" w:cs="Times New Roman"/>
          <w:b/>
          <w:bCs/>
          <w:iCs/>
          <w:sz w:val="24"/>
          <w:szCs w:val="24"/>
          <w:lang w:val="id-ID"/>
        </w:rPr>
        <w:t>Biografi Imam Malik</w:t>
      </w:r>
    </w:p>
    <w:p w:rsidR="00C0527C" w:rsidRPr="003C6B8D" w:rsidRDefault="00C0527C" w:rsidP="000D02F5">
      <w:pPr>
        <w:spacing w:line="360" w:lineRule="auto"/>
        <w:ind w:left="66" w:firstLine="643"/>
        <w:jc w:val="both"/>
        <w:rPr>
          <w:rFonts w:ascii="Times New Roman" w:hAnsi="Times New Roman" w:cs="Times New Roman"/>
          <w:sz w:val="24"/>
          <w:szCs w:val="24"/>
          <w:lang w:val="id-ID"/>
        </w:rPr>
      </w:pPr>
      <w:r w:rsidRPr="003C6B8D">
        <w:rPr>
          <w:rFonts w:ascii="Times New Roman" w:hAnsi="Times New Roman" w:cs="Times New Roman"/>
          <w:sz w:val="24"/>
          <w:szCs w:val="24"/>
        </w:rPr>
        <w:t>Imam malik bernama lengkap Abu Abdullah Malik bin Anas bin Malik bin Abi Amir bin Amr bin Haris bin Gaiman bin Kutail bin Amr bin Haris Al Asbahi, lahir di Madinah pada tahun 712-796 M. Berasal dari keluarga Arab yang terhormat dan berstatus sosial yang tinggi, baik sebelum datangnya islam maupun sesudahnya, tanah asal leluhurnya adalah Yaman, namun setelah nenek moyangnya menganut islam mereka pindah ke Madinah, kakeknya Abu Amir adalah anggota keluarga pertama yang memeluk agama islam pada tahun ke dua Hijriah.</w:t>
      </w:r>
      <w:r w:rsidRPr="003C6B8D">
        <w:rPr>
          <w:rFonts w:ascii="Times New Roman" w:hAnsi="Times New Roman" w:cs="Times New Roman"/>
          <w:sz w:val="24"/>
          <w:szCs w:val="24"/>
        </w:rPr>
        <w:br/>
        <w:t>Kakek dan ayahnya termasuk ulama hadis terpandang di Madinah, oleh sebab itu, sejak kecil Imam Malik tak berniat meninggalkan Madinah untuk mencari ilmu, karena beliau merasa Madinah adalah kota sumber ilmu yang berlimpah dengan ulama ulama besarnya. Imam Malik menekuni pelajaran hadis kepada ayah dan paman pamannya juga pernah berguru pada ulama ulama terkenal seperti Nafi’ bin Abi Nuaim, Ibnu Syihab Al Zuhri, Abu Zinad, Hasyim bin Urwa, Yahya bin Said Al Anshari, Muhammad bin Munkadir, Abdurrahman bin Hurmuz dan Imam Ja’far AsShadiq.</w:t>
      </w:r>
    </w:p>
    <w:p w:rsidR="00C0527C" w:rsidRPr="003C6B8D" w:rsidRDefault="00C0527C" w:rsidP="000D02F5">
      <w:pPr>
        <w:spacing w:line="360" w:lineRule="auto"/>
        <w:ind w:left="66" w:firstLine="643"/>
        <w:jc w:val="both"/>
        <w:rPr>
          <w:rFonts w:ascii="Times New Roman" w:hAnsi="Times New Roman" w:cs="Times New Roman"/>
          <w:sz w:val="24"/>
          <w:szCs w:val="24"/>
          <w:lang w:val="id-ID"/>
        </w:rPr>
      </w:pPr>
      <w:r w:rsidRPr="003C6B8D">
        <w:rPr>
          <w:rFonts w:ascii="Times New Roman" w:hAnsi="Times New Roman" w:cs="Times New Roman"/>
          <w:sz w:val="24"/>
          <w:szCs w:val="24"/>
        </w:rPr>
        <w:lastRenderedPageBreak/>
        <w:t xml:space="preserve">Kecintaannya kepada ilmu menjadikan hampir seluruh hidupnya diabdikan dalam dunia pendidikan, tidak kurang empat Khalifah, mulai dari Al Mansur, Al Mahdi, Harun Arrasyid dan Al Makmun pernah jadi muridnya, bahkan ulama ulama besar Imam Abu Hanifah dan Imam Syafi’i pun pernah menimba ilmu darinya, menurut sebuah riwayat disebutkan bahwa murid Imam Malik yang terkenal mencapai 1.300 orang. </w:t>
      </w:r>
    </w:p>
    <w:p w:rsidR="00C0527C" w:rsidRPr="003C6B8D" w:rsidRDefault="00C0527C" w:rsidP="000D02F5">
      <w:pPr>
        <w:spacing w:line="360" w:lineRule="auto"/>
        <w:ind w:left="66" w:firstLine="643"/>
        <w:jc w:val="both"/>
        <w:rPr>
          <w:rFonts w:ascii="Times New Roman" w:hAnsi="Times New Roman" w:cs="Times New Roman"/>
          <w:sz w:val="24"/>
          <w:szCs w:val="24"/>
          <w:lang w:val="id-ID"/>
        </w:rPr>
      </w:pPr>
      <w:r w:rsidRPr="003C6B8D">
        <w:rPr>
          <w:rFonts w:ascii="Times New Roman" w:hAnsi="Times New Roman" w:cs="Times New Roman"/>
          <w:sz w:val="24"/>
          <w:szCs w:val="24"/>
        </w:rPr>
        <w:t xml:space="preserve">Karya Imam malik terbesar adalah bukunya Al Muwatha’ yaitu kitab fiqh yang berdasarkan himpunan hadis hadis pilihan, menurut beberapa riwayat mengatakan bahwa buku Al Muwatha’ tersebut tidak akan ada bila Imam Malik tidak dipaksa oleh Khalifah Al Mansur sebagai sangsi atas penolakannya untuk datang ke Baghdad, dan sangsinya yaitu mengumpulkan hadis hadis dan membukukannya, Awalnya imam Malik enggan untuk melakukannya, namun setelah dipikir pikir tak ada salahnya melakukan hal tersebut Akhirnya lahirlah Al Muwatha’ yang ditulis pada masa khalifah Al Mansur (754-775 M) dan selesai di masa khalifah Al Mahdi (775-785 M), semula kitab ini memuat 10 ribu hadis namun setelah diteliti ulang, Imam malik hanya memasukkan 1.720 hadis. </w:t>
      </w:r>
      <w:r w:rsidRPr="003C6B8D">
        <w:rPr>
          <w:rFonts w:ascii="Times New Roman" w:hAnsi="Times New Roman" w:cs="Times New Roman"/>
          <w:sz w:val="24"/>
          <w:szCs w:val="24"/>
        </w:rPr>
        <w:br/>
      </w:r>
    </w:p>
    <w:p w:rsidR="00852EAB" w:rsidRDefault="00C0527C" w:rsidP="000D02F5">
      <w:pPr>
        <w:spacing w:line="360" w:lineRule="auto"/>
        <w:ind w:left="66" w:firstLine="643"/>
        <w:jc w:val="both"/>
        <w:rPr>
          <w:rFonts w:ascii="Times New Roman" w:hAnsi="Times New Roman" w:cs="Times New Roman"/>
          <w:sz w:val="24"/>
          <w:szCs w:val="24"/>
          <w:lang w:val="id-ID"/>
        </w:rPr>
      </w:pPr>
      <w:r w:rsidRPr="003C6B8D">
        <w:rPr>
          <w:rFonts w:ascii="Times New Roman" w:hAnsi="Times New Roman" w:cs="Times New Roman"/>
          <w:sz w:val="24"/>
          <w:szCs w:val="24"/>
        </w:rPr>
        <w:t>Imam malik tidak hanya meninggalkan warisan buku, tapi juga mewariskan Mazhab fiqhinya di kalangan sunni yang disebut sebagai mazhab Maliki, Mazhab ini sangat mengutamakan aspek kemaslahatan di dalam menetapkan hukum, sumber hukum yang menjadi pedoman dalam mazhab Maliki ini adalah Al Quran, Sunnah Rasulullah, Amalan para sahabat, Tradisi masyarakat Madinah, Qiyas dan Al Maslaha Al Mursal ( kemaslahatan yang tidak didukung atau dilarang oleh dalil tertentu.</w:t>
      </w:r>
    </w:p>
    <w:p w:rsidR="000B45C1" w:rsidRDefault="000B45C1" w:rsidP="000D02F5">
      <w:pPr>
        <w:spacing w:line="360" w:lineRule="auto"/>
        <w:ind w:left="66" w:firstLine="643"/>
        <w:jc w:val="both"/>
        <w:rPr>
          <w:rFonts w:ascii="Times New Roman" w:hAnsi="Times New Roman" w:cs="Times New Roman"/>
          <w:sz w:val="24"/>
          <w:szCs w:val="24"/>
          <w:lang w:val="id-ID"/>
        </w:rPr>
      </w:pPr>
    </w:p>
    <w:p w:rsidR="000B45C1" w:rsidRPr="000B45C1" w:rsidRDefault="000B45C1" w:rsidP="000D02F5">
      <w:pPr>
        <w:spacing w:line="360" w:lineRule="auto"/>
        <w:ind w:left="66" w:firstLine="643"/>
        <w:jc w:val="both"/>
        <w:rPr>
          <w:rFonts w:ascii="Times New Roman" w:hAnsi="Times New Roman" w:cs="Times New Roman"/>
          <w:b/>
          <w:bCs/>
          <w:iCs/>
          <w:sz w:val="24"/>
          <w:szCs w:val="24"/>
          <w:lang w:val="id-ID"/>
        </w:rPr>
      </w:pPr>
    </w:p>
    <w:p w:rsidR="00564048" w:rsidRPr="00847C78" w:rsidRDefault="00BB2F5D" w:rsidP="000D02F5">
      <w:pPr>
        <w:pStyle w:val="ListParagraph"/>
        <w:numPr>
          <w:ilvl w:val="0"/>
          <w:numId w:val="1"/>
        </w:numPr>
        <w:spacing w:line="360" w:lineRule="auto"/>
        <w:rPr>
          <w:rFonts w:ascii="Times New Roman" w:hAnsi="Times New Roman" w:cs="Times New Roman"/>
          <w:b/>
          <w:sz w:val="24"/>
          <w:szCs w:val="24"/>
        </w:rPr>
      </w:pPr>
      <w:r w:rsidRPr="00847C78">
        <w:rPr>
          <w:rFonts w:ascii="Times New Roman" w:hAnsi="Times New Roman" w:cs="Times New Roman"/>
          <w:b/>
          <w:sz w:val="24"/>
          <w:szCs w:val="24"/>
        </w:rPr>
        <w:lastRenderedPageBreak/>
        <w:t>Pemikiran Maslahat Imā</w:t>
      </w:r>
      <w:r w:rsidR="00564048" w:rsidRPr="00847C78">
        <w:rPr>
          <w:rFonts w:ascii="Times New Roman" w:hAnsi="Times New Roman" w:cs="Times New Roman"/>
          <w:b/>
          <w:sz w:val="24"/>
          <w:szCs w:val="24"/>
        </w:rPr>
        <w:t>m M</w:t>
      </w:r>
      <w:r w:rsidRPr="00847C78">
        <w:rPr>
          <w:rFonts w:ascii="Times New Roman" w:hAnsi="Times New Roman" w:cs="Times New Roman"/>
          <w:b/>
          <w:sz w:val="24"/>
          <w:szCs w:val="24"/>
        </w:rPr>
        <w:t>ā</w:t>
      </w:r>
      <w:r w:rsidR="00564048" w:rsidRPr="00847C78">
        <w:rPr>
          <w:rFonts w:ascii="Times New Roman" w:hAnsi="Times New Roman" w:cs="Times New Roman"/>
          <w:b/>
          <w:sz w:val="24"/>
          <w:szCs w:val="24"/>
        </w:rPr>
        <w:t>lik</w:t>
      </w:r>
    </w:p>
    <w:p w:rsidR="00347DCC" w:rsidRPr="003C6B8D" w:rsidRDefault="009C15F5"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Maslahat</w:t>
      </w:r>
      <w:r w:rsidR="00BB2F5D" w:rsidRPr="003C6B8D">
        <w:rPr>
          <w:rFonts w:ascii="Times New Roman" w:hAnsi="Times New Roman" w:cs="Times New Roman"/>
          <w:sz w:val="24"/>
          <w:szCs w:val="24"/>
        </w:rPr>
        <w:t xml:space="preserve"> atau istislā</w:t>
      </w:r>
      <w:r w:rsidR="00D91EAC" w:rsidRPr="003C6B8D">
        <w:rPr>
          <w:rFonts w:ascii="Times New Roman" w:hAnsi="Times New Roman" w:cs="Times New Roman"/>
          <w:sz w:val="24"/>
          <w:szCs w:val="24"/>
        </w:rPr>
        <w:t>h</w:t>
      </w:r>
      <w:r w:rsidR="001F22DF" w:rsidRPr="003C6B8D">
        <w:rPr>
          <w:rFonts w:ascii="Times New Roman" w:hAnsi="Times New Roman" w:cs="Times New Roman"/>
          <w:sz w:val="24"/>
          <w:szCs w:val="24"/>
        </w:rPr>
        <w:t>,</w:t>
      </w:r>
      <w:r w:rsidR="00AD5D92" w:rsidRPr="003C6B8D">
        <w:rPr>
          <w:rStyle w:val="FootnoteReference"/>
          <w:rFonts w:ascii="Times New Roman" w:hAnsi="Times New Roman" w:cs="Times New Roman"/>
          <w:sz w:val="24"/>
          <w:szCs w:val="24"/>
        </w:rPr>
        <w:footnoteReference w:id="8"/>
      </w:r>
      <w:r w:rsidR="001F22DF" w:rsidRPr="003C6B8D">
        <w:rPr>
          <w:rFonts w:ascii="Times New Roman" w:hAnsi="Times New Roman" w:cs="Times New Roman"/>
          <w:sz w:val="24"/>
          <w:szCs w:val="24"/>
        </w:rPr>
        <w:t xml:space="preserve"> </w:t>
      </w:r>
      <w:r w:rsidR="004C7B12" w:rsidRPr="003C6B8D">
        <w:rPr>
          <w:rFonts w:ascii="Times New Roman" w:hAnsi="Times New Roman" w:cs="Times New Roman"/>
          <w:sz w:val="24"/>
          <w:szCs w:val="24"/>
        </w:rPr>
        <w:t xml:space="preserve">yang dipahami </w:t>
      </w:r>
      <w:r w:rsidR="00347DCC" w:rsidRPr="003C6B8D">
        <w:rPr>
          <w:rFonts w:ascii="Times New Roman" w:hAnsi="Times New Roman" w:cs="Times New Roman"/>
          <w:sz w:val="24"/>
          <w:szCs w:val="24"/>
        </w:rPr>
        <w:t>Im</w:t>
      </w:r>
      <w:r w:rsidR="00BB2F5D" w:rsidRPr="003C6B8D">
        <w:rPr>
          <w:rFonts w:ascii="Times New Roman" w:hAnsi="Times New Roman" w:cs="Times New Roman"/>
          <w:sz w:val="24"/>
          <w:szCs w:val="24"/>
        </w:rPr>
        <w:t>ā</w:t>
      </w:r>
      <w:r w:rsidR="00347DCC" w:rsidRPr="003C6B8D">
        <w:rPr>
          <w:rFonts w:ascii="Times New Roman" w:hAnsi="Times New Roman" w:cs="Times New Roman"/>
          <w:sz w:val="24"/>
          <w:szCs w:val="24"/>
        </w:rPr>
        <w:t>m M</w:t>
      </w:r>
      <w:r w:rsidR="00BB2F5D" w:rsidRPr="003C6B8D">
        <w:rPr>
          <w:rFonts w:ascii="Times New Roman" w:hAnsi="Times New Roman" w:cs="Times New Roman"/>
          <w:sz w:val="24"/>
          <w:szCs w:val="24"/>
        </w:rPr>
        <w:t>ā</w:t>
      </w:r>
      <w:r w:rsidR="00347DCC" w:rsidRPr="003C6B8D">
        <w:rPr>
          <w:rFonts w:ascii="Times New Roman" w:hAnsi="Times New Roman" w:cs="Times New Roman"/>
          <w:sz w:val="24"/>
          <w:szCs w:val="24"/>
        </w:rPr>
        <w:t xml:space="preserve">lik </w:t>
      </w:r>
      <w:r w:rsidR="00C779A4" w:rsidRPr="003C6B8D">
        <w:rPr>
          <w:rFonts w:ascii="Times New Roman" w:hAnsi="Times New Roman" w:cs="Times New Roman"/>
          <w:sz w:val="24"/>
          <w:szCs w:val="24"/>
        </w:rPr>
        <w:t>b</w:t>
      </w:r>
      <w:r w:rsidR="00347DCC" w:rsidRPr="003C6B8D">
        <w:rPr>
          <w:rFonts w:ascii="Times New Roman" w:hAnsi="Times New Roman" w:cs="Times New Roman"/>
          <w:sz w:val="24"/>
          <w:szCs w:val="24"/>
        </w:rPr>
        <w:t>ersama pengik</w:t>
      </w:r>
      <w:r w:rsidR="004C7B12" w:rsidRPr="003C6B8D">
        <w:rPr>
          <w:rFonts w:ascii="Times New Roman" w:hAnsi="Times New Roman" w:cs="Times New Roman"/>
          <w:sz w:val="24"/>
          <w:szCs w:val="24"/>
        </w:rPr>
        <w:t xml:space="preserve">ut-pengikutnya adalah </w:t>
      </w:r>
      <w:r w:rsidR="00347DCC" w:rsidRPr="003C6B8D">
        <w:rPr>
          <w:rFonts w:ascii="Times New Roman" w:hAnsi="Times New Roman" w:cs="Times New Roman"/>
          <w:sz w:val="24"/>
          <w:szCs w:val="24"/>
        </w:rPr>
        <w:t>istisl</w:t>
      </w:r>
      <w:r w:rsidR="00BB2F5D" w:rsidRPr="003C6B8D">
        <w:rPr>
          <w:rFonts w:ascii="Times New Roman" w:hAnsi="Times New Roman" w:cs="Times New Roman"/>
          <w:sz w:val="24"/>
          <w:szCs w:val="24"/>
        </w:rPr>
        <w:t>ā</w:t>
      </w:r>
      <w:r w:rsidR="00347DCC" w:rsidRPr="003C6B8D">
        <w:rPr>
          <w:rFonts w:ascii="Times New Roman" w:hAnsi="Times New Roman" w:cs="Times New Roman"/>
          <w:sz w:val="24"/>
          <w:szCs w:val="24"/>
        </w:rPr>
        <w:t xml:space="preserve">h </w:t>
      </w:r>
      <w:r w:rsidR="004C7B12" w:rsidRPr="003C6B8D">
        <w:rPr>
          <w:rFonts w:ascii="Times New Roman" w:hAnsi="Times New Roman" w:cs="Times New Roman"/>
          <w:sz w:val="24"/>
          <w:szCs w:val="24"/>
        </w:rPr>
        <w:t xml:space="preserve">sebagai </w:t>
      </w:r>
      <w:r w:rsidR="00347DCC" w:rsidRPr="003C6B8D">
        <w:rPr>
          <w:rFonts w:ascii="Times New Roman" w:hAnsi="Times New Roman" w:cs="Times New Roman"/>
          <w:sz w:val="24"/>
          <w:szCs w:val="24"/>
        </w:rPr>
        <w:t>cara yang diakui syari’at untuk menyimpulkan hukum yang tidak ada nas</w:t>
      </w:r>
      <w:r w:rsidR="00011DD9" w:rsidRPr="003C6B8D">
        <w:rPr>
          <w:rFonts w:ascii="Times New Roman" w:hAnsi="Times New Roman" w:cs="Times New Roman"/>
          <w:sz w:val="24"/>
          <w:szCs w:val="24"/>
        </w:rPr>
        <w:t>h</w:t>
      </w:r>
      <w:r w:rsidR="00347DCC" w:rsidRPr="003C6B8D">
        <w:rPr>
          <w:rFonts w:ascii="Times New Roman" w:hAnsi="Times New Roman" w:cs="Times New Roman"/>
          <w:sz w:val="24"/>
          <w:szCs w:val="24"/>
        </w:rPr>
        <w:t xml:space="preserve"> dan ijma karenanya maslahat yang dianggap sah untuk ditentukan menjadi hukum syari’at ialah maslahat yang syari’at tidak mempunyai ketentuan.</w:t>
      </w:r>
    </w:p>
    <w:p w:rsidR="002870C0" w:rsidRPr="003C6B8D" w:rsidRDefault="004C7B12"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Dalam hubungan ini, m</w:t>
      </w:r>
      <w:r w:rsidR="001F22DF" w:rsidRPr="003C6B8D">
        <w:rPr>
          <w:rFonts w:ascii="Times New Roman" w:hAnsi="Times New Roman" w:cs="Times New Roman"/>
          <w:sz w:val="24"/>
          <w:szCs w:val="24"/>
        </w:rPr>
        <w:t>a</w:t>
      </w:r>
      <w:r w:rsidRPr="003C6B8D">
        <w:rPr>
          <w:rFonts w:ascii="Times New Roman" w:hAnsi="Times New Roman" w:cs="Times New Roman"/>
          <w:sz w:val="24"/>
          <w:szCs w:val="24"/>
        </w:rPr>
        <w:t>ka</w:t>
      </w:r>
      <w:r w:rsidR="00852EAB" w:rsidRPr="003C6B8D">
        <w:rPr>
          <w:rFonts w:ascii="Times New Roman" w:hAnsi="Times New Roman" w:cs="Times New Roman"/>
          <w:sz w:val="24"/>
          <w:szCs w:val="24"/>
        </w:rPr>
        <w:t xml:space="preserve"> langkah penting yang ditawarkan</w:t>
      </w:r>
      <w:r w:rsidR="00BB2F5D" w:rsidRPr="003C6B8D">
        <w:rPr>
          <w:rFonts w:ascii="Times New Roman" w:hAnsi="Times New Roman" w:cs="Times New Roman"/>
          <w:sz w:val="24"/>
          <w:szCs w:val="24"/>
        </w:rPr>
        <w:t xml:space="preserve"> oleh mazhab Mā</w:t>
      </w:r>
      <w:r w:rsidR="002C012F" w:rsidRPr="003C6B8D">
        <w:rPr>
          <w:rFonts w:ascii="Times New Roman" w:hAnsi="Times New Roman" w:cs="Times New Roman"/>
          <w:sz w:val="24"/>
          <w:szCs w:val="24"/>
        </w:rPr>
        <w:t>lik dalam hubungannya dengan ijtih</w:t>
      </w:r>
      <w:r w:rsidR="001F22DF" w:rsidRPr="003C6B8D">
        <w:rPr>
          <w:rFonts w:ascii="Times New Roman" w:hAnsi="Times New Roman" w:cs="Times New Roman"/>
          <w:sz w:val="24"/>
          <w:szCs w:val="24"/>
        </w:rPr>
        <w:t xml:space="preserve">ad adalah penggunaan </w:t>
      </w:r>
      <w:r w:rsidR="0062454C" w:rsidRPr="003C6B8D">
        <w:rPr>
          <w:rFonts w:ascii="Times New Roman" w:hAnsi="Times New Roman" w:cs="Times New Roman"/>
          <w:sz w:val="24"/>
          <w:szCs w:val="24"/>
        </w:rPr>
        <w:t>istilah</w:t>
      </w:r>
      <w:r w:rsidR="002C012F" w:rsidRPr="003C6B8D">
        <w:rPr>
          <w:rFonts w:ascii="Times New Roman" w:hAnsi="Times New Roman" w:cs="Times New Roman"/>
          <w:sz w:val="24"/>
          <w:szCs w:val="24"/>
        </w:rPr>
        <w:t xml:space="preserve"> </w:t>
      </w:r>
      <w:r w:rsidR="00011DD9" w:rsidRPr="003C6B8D">
        <w:rPr>
          <w:rFonts w:ascii="Times New Roman" w:hAnsi="Times New Roman" w:cs="Times New Roman"/>
          <w:sz w:val="24"/>
          <w:szCs w:val="24"/>
        </w:rPr>
        <w:t>m</w:t>
      </w:r>
      <w:r w:rsidR="002C012F" w:rsidRPr="003C6B8D">
        <w:rPr>
          <w:rFonts w:ascii="Times New Roman" w:hAnsi="Times New Roman" w:cs="Times New Roman"/>
          <w:sz w:val="24"/>
          <w:szCs w:val="24"/>
        </w:rPr>
        <w:t>ursa</w:t>
      </w:r>
      <w:r w:rsidR="001F22DF" w:rsidRPr="003C6B8D">
        <w:rPr>
          <w:rFonts w:ascii="Times New Roman" w:hAnsi="Times New Roman" w:cs="Times New Roman"/>
          <w:sz w:val="24"/>
          <w:szCs w:val="24"/>
        </w:rPr>
        <w:t>l</w:t>
      </w:r>
      <w:r w:rsidR="002C012F" w:rsidRPr="003C6B8D">
        <w:rPr>
          <w:rFonts w:ascii="Times New Roman" w:hAnsi="Times New Roman" w:cs="Times New Roman"/>
          <w:sz w:val="24"/>
          <w:szCs w:val="24"/>
        </w:rPr>
        <w:t>ah</w:t>
      </w:r>
      <w:r w:rsidR="001F22DF" w:rsidRPr="003C6B8D">
        <w:rPr>
          <w:rFonts w:ascii="Times New Roman" w:hAnsi="Times New Roman" w:cs="Times New Roman"/>
          <w:sz w:val="24"/>
          <w:szCs w:val="24"/>
        </w:rPr>
        <w:t xml:space="preserve"> yang diartikan dengan bebas, tidak terbatas, tidak terikat. Karena itu, konsep </w:t>
      </w:r>
      <w:r w:rsidR="009C15F5" w:rsidRPr="003C6B8D">
        <w:rPr>
          <w:rFonts w:ascii="Times New Roman" w:hAnsi="Times New Roman" w:cs="Times New Roman"/>
          <w:sz w:val="24"/>
          <w:szCs w:val="24"/>
        </w:rPr>
        <w:t>maslahat</w:t>
      </w:r>
      <w:r w:rsidR="001F22DF" w:rsidRPr="003C6B8D">
        <w:rPr>
          <w:rFonts w:ascii="Times New Roman" w:hAnsi="Times New Roman" w:cs="Times New Roman"/>
          <w:sz w:val="24"/>
          <w:szCs w:val="24"/>
        </w:rPr>
        <w:t xml:space="preserve"> mursalah </w:t>
      </w:r>
      <w:r w:rsidR="00BB2F5D" w:rsidRPr="003C6B8D">
        <w:rPr>
          <w:rFonts w:ascii="Times New Roman" w:hAnsi="Times New Roman" w:cs="Times New Roman"/>
          <w:sz w:val="24"/>
          <w:szCs w:val="24"/>
        </w:rPr>
        <w:t>I</w:t>
      </w:r>
      <w:r w:rsidR="001F22DF" w:rsidRPr="003C6B8D">
        <w:rPr>
          <w:rFonts w:ascii="Times New Roman" w:hAnsi="Times New Roman" w:cs="Times New Roman"/>
          <w:sz w:val="24"/>
          <w:szCs w:val="24"/>
        </w:rPr>
        <w:t>m</w:t>
      </w:r>
      <w:r w:rsidR="00BB2F5D" w:rsidRPr="003C6B8D">
        <w:rPr>
          <w:rFonts w:ascii="Times New Roman" w:hAnsi="Times New Roman" w:cs="Times New Roman"/>
          <w:sz w:val="24"/>
          <w:szCs w:val="24"/>
        </w:rPr>
        <w:t>ā</w:t>
      </w:r>
      <w:r w:rsidR="001F22DF" w:rsidRPr="003C6B8D">
        <w:rPr>
          <w:rFonts w:ascii="Times New Roman" w:hAnsi="Times New Roman" w:cs="Times New Roman"/>
          <w:sz w:val="24"/>
          <w:szCs w:val="24"/>
        </w:rPr>
        <w:t>m M</w:t>
      </w:r>
      <w:r w:rsidR="00BB2F5D" w:rsidRPr="003C6B8D">
        <w:rPr>
          <w:rFonts w:ascii="Times New Roman" w:hAnsi="Times New Roman" w:cs="Times New Roman"/>
          <w:sz w:val="24"/>
          <w:szCs w:val="24"/>
        </w:rPr>
        <w:t>ā</w:t>
      </w:r>
      <w:r w:rsidR="001F22DF" w:rsidRPr="003C6B8D">
        <w:rPr>
          <w:rFonts w:ascii="Times New Roman" w:hAnsi="Times New Roman" w:cs="Times New Roman"/>
          <w:sz w:val="24"/>
          <w:szCs w:val="24"/>
        </w:rPr>
        <w:t xml:space="preserve">lik diartikan dengan kepentingan, kebaikan yang diperoleh secara bebas. Teori </w:t>
      </w:r>
      <w:r w:rsidR="009C15F5" w:rsidRPr="003C6B8D">
        <w:rPr>
          <w:rFonts w:ascii="Times New Roman" w:hAnsi="Times New Roman" w:cs="Times New Roman"/>
          <w:sz w:val="24"/>
          <w:szCs w:val="24"/>
        </w:rPr>
        <w:t>maslahat</w:t>
      </w:r>
      <w:r w:rsidR="001F22DF" w:rsidRPr="003C6B8D">
        <w:rPr>
          <w:rFonts w:ascii="Times New Roman" w:hAnsi="Times New Roman" w:cs="Times New Roman"/>
          <w:sz w:val="24"/>
          <w:szCs w:val="24"/>
        </w:rPr>
        <w:t xml:space="preserve"> </w:t>
      </w:r>
      <w:r w:rsidR="00011DD9" w:rsidRPr="003C6B8D">
        <w:rPr>
          <w:rFonts w:ascii="Times New Roman" w:hAnsi="Times New Roman" w:cs="Times New Roman"/>
          <w:sz w:val="24"/>
          <w:szCs w:val="24"/>
        </w:rPr>
        <w:t>m</w:t>
      </w:r>
      <w:r w:rsidR="001F22DF" w:rsidRPr="003C6B8D">
        <w:rPr>
          <w:rFonts w:ascii="Times New Roman" w:hAnsi="Times New Roman" w:cs="Times New Roman"/>
          <w:sz w:val="24"/>
          <w:szCs w:val="24"/>
        </w:rPr>
        <w:t>ursalah ini diilhami oleh suatu pa</w:t>
      </w:r>
      <w:r w:rsidR="0062454C" w:rsidRPr="003C6B8D">
        <w:rPr>
          <w:rFonts w:ascii="Times New Roman" w:hAnsi="Times New Roman" w:cs="Times New Roman"/>
          <w:sz w:val="24"/>
          <w:szCs w:val="24"/>
        </w:rPr>
        <w:t>h</w:t>
      </w:r>
      <w:r w:rsidR="001F22DF" w:rsidRPr="003C6B8D">
        <w:rPr>
          <w:rFonts w:ascii="Times New Roman" w:hAnsi="Times New Roman" w:cs="Times New Roman"/>
          <w:sz w:val="24"/>
          <w:szCs w:val="24"/>
        </w:rPr>
        <w:t xml:space="preserve">am bahwa syari’at Islam bertujuan mendatangkan manfaat, kesejahteraan dan kedamaian bagi kepentingan masyarakat dan mencegah kemudaratan. </w:t>
      </w:r>
    </w:p>
    <w:p w:rsidR="000B37E1" w:rsidRPr="003C6B8D" w:rsidRDefault="001F22DF"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 xml:space="preserve">Menurut </w:t>
      </w:r>
      <w:r w:rsidR="00BB2F5D" w:rsidRPr="003C6B8D">
        <w:rPr>
          <w:rFonts w:ascii="Times New Roman" w:hAnsi="Times New Roman" w:cs="Times New Roman"/>
          <w:sz w:val="24"/>
          <w:szCs w:val="24"/>
        </w:rPr>
        <w:t>I</w:t>
      </w:r>
      <w:r w:rsidRPr="003C6B8D">
        <w:rPr>
          <w:rFonts w:ascii="Times New Roman" w:hAnsi="Times New Roman" w:cs="Times New Roman"/>
          <w:sz w:val="24"/>
          <w:szCs w:val="24"/>
        </w:rPr>
        <w:t>mam M</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lik, </w:t>
      </w:r>
      <w:r w:rsidR="00907C5A" w:rsidRPr="003C6B8D">
        <w:rPr>
          <w:rFonts w:ascii="Times New Roman" w:hAnsi="Times New Roman" w:cs="Times New Roman"/>
          <w:sz w:val="24"/>
          <w:szCs w:val="24"/>
        </w:rPr>
        <w:t xml:space="preserve">kepentingan bersama merupakan sasaran </w:t>
      </w:r>
      <w:r w:rsidRPr="003C6B8D">
        <w:rPr>
          <w:rFonts w:ascii="Times New Roman" w:hAnsi="Times New Roman" w:cs="Times New Roman"/>
          <w:sz w:val="24"/>
          <w:szCs w:val="24"/>
        </w:rPr>
        <w:t xml:space="preserve">syari’at Islam </w:t>
      </w:r>
      <w:r w:rsidR="00907C5A" w:rsidRPr="003C6B8D">
        <w:rPr>
          <w:rFonts w:ascii="Times New Roman" w:hAnsi="Times New Roman" w:cs="Times New Roman"/>
          <w:sz w:val="24"/>
          <w:szCs w:val="24"/>
        </w:rPr>
        <w:t>dan semua produk hukum memprioritaskan kepentingan bersama atas kepentingan lain.</w:t>
      </w:r>
      <w:r w:rsidR="00F1274B" w:rsidRPr="003C6B8D">
        <w:rPr>
          <w:rStyle w:val="FootnoteReference"/>
          <w:rFonts w:ascii="Times New Roman" w:hAnsi="Times New Roman" w:cs="Times New Roman"/>
          <w:sz w:val="24"/>
          <w:szCs w:val="24"/>
        </w:rPr>
        <w:footnoteReference w:id="9"/>
      </w:r>
      <w:r w:rsidR="000B37E1" w:rsidRPr="003C6B8D">
        <w:rPr>
          <w:rFonts w:ascii="Times New Roman" w:hAnsi="Times New Roman" w:cs="Times New Roman"/>
          <w:sz w:val="24"/>
          <w:szCs w:val="24"/>
        </w:rPr>
        <w:t xml:space="preserve"> </w:t>
      </w:r>
      <w:r w:rsidR="00284CA5" w:rsidRPr="003C6B8D">
        <w:rPr>
          <w:rFonts w:ascii="Times New Roman" w:hAnsi="Times New Roman" w:cs="Times New Roman"/>
          <w:sz w:val="24"/>
          <w:szCs w:val="24"/>
        </w:rPr>
        <w:t>Maslahat mursalah</w:t>
      </w:r>
      <w:r w:rsidR="000B37E1" w:rsidRPr="003C6B8D">
        <w:rPr>
          <w:rFonts w:ascii="Times New Roman" w:hAnsi="Times New Roman" w:cs="Times New Roman"/>
          <w:sz w:val="24"/>
          <w:szCs w:val="24"/>
        </w:rPr>
        <w:t xml:space="preserve"> merupakan induksi dari logika sekumpulan nash bukan dari nash yang rinci</w:t>
      </w:r>
      <w:r w:rsidR="00BB2F5D" w:rsidRPr="003C6B8D">
        <w:rPr>
          <w:rFonts w:ascii="Times New Roman" w:hAnsi="Times New Roman" w:cs="Times New Roman"/>
          <w:sz w:val="24"/>
          <w:szCs w:val="24"/>
        </w:rPr>
        <w:t xml:space="preserve"> seperti yang berlaku dalam qiyā</w:t>
      </w:r>
      <w:r w:rsidR="000B37E1" w:rsidRPr="003C6B8D">
        <w:rPr>
          <w:rFonts w:ascii="Times New Roman" w:hAnsi="Times New Roman" w:cs="Times New Roman"/>
          <w:sz w:val="24"/>
          <w:szCs w:val="24"/>
        </w:rPr>
        <w:t xml:space="preserve">s bahkan </w:t>
      </w:r>
      <w:r w:rsidR="00BB2F5D" w:rsidRPr="003C6B8D">
        <w:rPr>
          <w:rFonts w:ascii="Times New Roman" w:hAnsi="Times New Roman" w:cs="Times New Roman"/>
          <w:sz w:val="24"/>
          <w:szCs w:val="24"/>
        </w:rPr>
        <w:t>Imam Syā</w:t>
      </w:r>
      <w:r w:rsidR="000B37E1" w:rsidRPr="003C6B8D">
        <w:rPr>
          <w:rFonts w:ascii="Times New Roman" w:hAnsi="Times New Roman" w:cs="Times New Roman"/>
          <w:sz w:val="24"/>
          <w:szCs w:val="24"/>
        </w:rPr>
        <w:t xml:space="preserve">tibi mengatakan bahwa keberadaan dan kualitas </w:t>
      </w:r>
      <w:r w:rsidR="00284CA5" w:rsidRPr="003C6B8D">
        <w:rPr>
          <w:rFonts w:ascii="Times New Roman" w:hAnsi="Times New Roman" w:cs="Times New Roman"/>
          <w:sz w:val="24"/>
          <w:szCs w:val="24"/>
        </w:rPr>
        <w:t>maslahat mursalah</w:t>
      </w:r>
      <w:r w:rsidR="000B37E1" w:rsidRPr="003C6B8D">
        <w:rPr>
          <w:rFonts w:ascii="Times New Roman" w:hAnsi="Times New Roman" w:cs="Times New Roman"/>
          <w:sz w:val="24"/>
          <w:szCs w:val="24"/>
        </w:rPr>
        <w:t xml:space="preserve"> itu bersifa</w:t>
      </w:r>
      <w:r w:rsidR="00A93D55" w:rsidRPr="003C6B8D">
        <w:rPr>
          <w:rFonts w:ascii="Times New Roman" w:hAnsi="Times New Roman" w:cs="Times New Roman"/>
          <w:sz w:val="24"/>
          <w:szCs w:val="24"/>
        </w:rPr>
        <w:t>t pasti</w:t>
      </w:r>
      <w:r w:rsidR="000B37E1" w:rsidRPr="003C6B8D">
        <w:rPr>
          <w:rFonts w:ascii="Times New Roman" w:hAnsi="Times New Roman" w:cs="Times New Roman"/>
          <w:sz w:val="24"/>
          <w:szCs w:val="24"/>
        </w:rPr>
        <w:t xml:space="preserve"> sekalipun dalam penerapannya</w:t>
      </w:r>
      <w:r w:rsidR="00A93D55" w:rsidRPr="003C6B8D">
        <w:rPr>
          <w:rFonts w:ascii="Times New Roman" w:hAnsi="Times New Roman" w:cs="Times New Roman"/>
          <w:sz w:val="24"/>
          <w:szCs w:val="24"/>
        </w:rPr>
        <w:t xml:space="preserve"> bisa bersifat relatif</w:t>
      </w:r>
      <w:r w:rsidR="000B37E1" w:rsidRPr="003C6B8D">
        <w:rPr>
          <w:rFonts w:ascii="Times New Roman" w:hAnsi="Times New Roman" w:cs="Times New Roman"/>
          <w:sz w:val="24"/>
          <w:szCs w:val="24"/>
        </w:rPr>
        <w:t>.</w:t>
      </w:r>
    </w:p>
    <w:p w:rsidR="002870C0" w:rsidRPr="003C6B8D" w:rsidRDefault="004C7B12"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 xml:space="preserve">Atas dasar itulah, maka Malikiah </w:t>
      </w:r>
      <w:r w:rsidR="00BB2F5D" w:rsidRPr="003C6B8D">
        <w:rPr>
          <w:rFonts w:ascii="Times New Roman" w:hAnsi="Times New Roman" w:cs="Times New Roman"/>
          <w:sz w:val="24"/>
          <w:szCs w:val="24"/>
        </w:rPr>
        <w:t>dan Hanā</w:t>
      </w:r>
      <w:r w:rsidR="002870C0" w:rsidRPr="003C6B8D">
        <w:rPr>
          <w:rFonts w:ascii="Times New Roman" w:hAnsi="Times New Roman" w:cs="Times New Roman"/>
          <w:sz w:val="24"/>
          <w:szCs w:val="24"/>
        </w:rPr>
        <w:t xml:space="preserve">bilah </w:t>
      </w:r>
      <w:r w:rsidRPr="003C6B8D">
        <w:rPr>
          <w:rFonts w:ascii="Times New Roman" w:hAnsi="Times New Roman" w:cs="Times New Roman"/>
          <w:sz w:val="24"/>
          <w:szCs w:val="24"/>
        </w:rPr>
        <w:t>banyak</w:t>
      </w:r>
      <w:r w:rsidR="00291C11" w:rsidRPr="003C6B8D">
        <w:rPr>
          <w:rFonts w:ascii="Times New Roman" w:hAnsi="Times New Roman" w:cs="Times New Roman"/>
          <w:sz w:val="24"/>
          <w:szCs w:val="24"/>
        </w:rPr>
        <w:t xml:space="preserve"> </w:t>
      </w:r>
      <w:r w:rsidR="005D7D46" w:rsidRPr="003C6B8D">
        <w:rPr>
          <w:rFonts w:ascii="Times New Roman" w:hAnsi="Times New Roman" w:cs="Times New Roman"/>
          <w:sz w:val="24"/>
          <w:szCs w:val="24"/>
        </w:rPr>
        <w:t xml:space="preserve">membentuk hukum berdasarkan </w:t>
      </w:r>
      <w:r w:rsidR="009C15F5" w:rsidRPr="003C6B8D">
        <w:rPr>
          <w:rFonts w:ascii="Times New Roman" w:hAnsi="Times New Roman" w:cs="Times New Roman"/>
          <w:sz w:val="24"/>
          <w:szCs w:val="24"/>
        </w:rPr>
        <w:t>maslahat</w:t>
      </w:r>
      <w:r w:rsidR="005D7D46" w:rsidRPr="003C6B8D">
        <w:rPr>
          <w:rFonts w:ascii="Times New Roman" w:hAnsi="Times New Roman" w:cs="Times New Roman"/>
          <w:sz w:val="24"/>
          <w:szCs w:val="24"/>
        </w:rPr>
        <w:t xml:space="preserve"> mursalah tanpa memasukkan ke </w:t>
      </w:r>
      <w:r w:rsidR="00BB2F5D" w:rsidRPr="003C6B8D">
        <w:rPr>
          <w:rFonts w:ascii="Times New Roman" w:hAnsi="Times New Roman" w:cs="Times New Roman"/>
          <w:sz w:val="24"/>
          <w:szCs w:val="24"/>
        </w:rPr>
        <w:t>dalam qiyā</w:t>
      </w:r>
      <w:r w:rsidRPr="003C6B8D">
        <w:rPr>
          <w:rFonts w:ascii="Times New Roman" w:hAnsi="Times New Roman" w:cs="Times New Roman"/>
          <w:sz w:val="24"/>
          <w:szCs w:val="24"/>
        </w:rPr>
        <w:t xml:space="preserve">s. Kedua mazhab </w:t>
      </w:r>
      <w:r w:rsidRPr="003C6B8D">
        <w:rPr>
          <w:rFonts w:ascii="Times New Roman" w:hAnsi="Times New Roman" w:cs="Times New Roman"/>
          <w:sz w:val="24"/>
          <w:szCs w:val="24"/>
        </w:rPr>
        <w:lastRenderedPageBreak/>
        <w:t xml:space="preserve">ini menjadikannya sebagai dalil yang berdiri sendiri dengan nama </w:t>
      </w:r>
      <w:r w:rsidR="009C15F5" w:rsidRPr="003C6B8D">
        <w:rPr>
          <w:rFonts w:ascii="Times New Roman" w:hAnsi="Times New Roman" w:cs="Times New Roman"/>
          <w:sz w:val="24"/>
          <w:szCs w:val="24"/>
        </w:rPr>
        <w:t xml:space="preserve">maslahat </w:t>
      </w:r>
      <w:r w:rsidRPr="003C6B8D">
        <w:rPr>
          <w:rFonts w:ascii="Times New Roman" w:hAnsi="Times New Roman" w:cs="Times New Roman"/>
          <w:sz w:val="24"/>
          <w:szCs w:val="24"/>
        </w:rPr>
        <w:t>mursalah</w:t>
      </w:r>
      <w:r w:rsidR="009C15F5" w:rsidRPr="003C6B8D">
        <w:rPr>
          <w:rFonts w:ascii="Times New Roman" w:hAnsi="Times New Roman" w:cs="Times New Roman"/>
          <w:sz w:val="24"/>
          <w:szCs w:val="24"/>
        </w:rPr>
        <w:t>, bahkan mereka dianggap sebagai ulama fiqh yang paling banyak dan luas menerapkannya.</w:t>
      </w:r>
      <w:r w:rsidR="002870C0" w:rsidRPr="003C6B8D">
        <w:rPr>
          <w:rFonts w:ascii="Times New Roman" w:hAnsi="Times New Roman" w:cs="Times New Roman"/>
          <w:sz w:val="24"/>
          <w:szCs w:val="24"/>
        </w:rPr>
        <w:t xml:space="preserve"> </w:t>
      </w:r>
    </w:p>
    <w:p w:rsidR="00E63593" w:rsidRPr="003C6B8D" w:rsidRDefault="00E63593"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 xml:space="preserve">Terkait dengan penggunaan maslahat mursalah tersebut, </w:t>
      </w:r>
      <w:r w:rsidR="001E2D88" w:rsidRPr="003C6B8D">
        <w:rPr>
          <w:rFonts w:ascii="Times New Roman" w:hAnsi="Times New Roman" w:cs="Times New Roman"/>
          <w:sz w:val="24"/>
          <w:szCs w:val="24"/>
        </w:rPr>
        <w:t>Syihab</w:t>
      </w:r>
      <w:r w:rsidR="00BB2F5D" w:rsidRPr="003C6B8D">
        <w:rPr>
          <w:rFonts w:ascii="Times New Roman" w:hAnsi="Times New Roman" w:cs="Times New Roman"/>
          <w:sz w:val="24"/>
          <w:szCs w:val="24"/>
        </w:rPr>
        <w:t>uddin al-Qarrā</w:t>
      </w:r>
      <w:r w:rsidR="001E2D88" w:rsidRPr="003C6B8D">
        <w:rPr>
          <w:rFonts w:ascii="Times New Roman" w:hAnsi="Times New Roman" w:cs="Times New Roman"/>
          <w:sz w:val="24"/>
          <w:szCs w:val="24"/>
        </w:rPr>
        <w:t>fy dari golongan Malikiah berkata</w:t>
      </w:r>
      <w:r w:rsidR="004C7B12" w:rsidRPr="003C6B8D">
        <w:rPr>
          <w:rFonts w:ascii="Times New Roman" w:hAnsi="Times New Roman" w:cs="Times New Roman"/>
          <w:sz w:val="24"/>
          <w:szCs w:val="24"/>
        </w:rPr>
        <w:t xml:space="preserve"> </w:t>
      </w:r>
      <w:r w:rsidR="001E2D88" w:rsidRPr="003C6B8D">
        <w:rPr>
          <w:rFonts w:ascii="Times New Roman" w:hAnsi="Times New Roman" w:cs="Times New Roman"/>
          <w:sz w:val="24"/>
          <w:szCs w:val="24"/>
        </w:rPr>
        <w:t>selain golongan kami</w:t>
      </w:r>
      <w:r w:rsidR="00011DD9" w:rsidRPr="003C6B8D">
        <w:rPr>
          <w:rFonts w:ascii="Times New Roman" w:hAnsi="Times New Roman" w:cs="Times New Roman"/>
          <w:sz w:val="24"/>
          <w:szCs w:val="24"/>
        </w:rPr>
        <w:t>, mereka</w:t>
      </w:r>
      <w:r w:rsidR="001E2D88" w:rsidRPr="003C6B8D">
        <w:rPr>
          <w:rFonts w:ascii="Times New Roman" w:hAnsi="Times New Roman" w:cs="Times New Roman"/>
          <w:sz w:val="24"/>
          <w:szCs w:val="24"/>
        </w:rPr>
        <w:t xml:space="preserve"> dengan tegas menyatakan keingkarannya terhadap </w:t>
      </w:r>
      <w:r w:rsidR="009C15F5" w:rsidRPr="003C6B8D">
        <w:rPr>
          <w:rFonts w:ascii="Times New Roman" w:hAnsi="Times New Roman" w:cs="Times New Roman"/>
          <w:sz w:val="24"/>
          <w:szCs w:val="24"/>
        </w:rPr>
        <w:t>maslahat</w:t>
      </w:r>
      <w:r w:rsidR="001E2D88" w:rsidRPr="003C6B8D">
        <w:rPr>
          <w:rFonts w:ascii="Times New Roman" w:hAnsi="Times New Roman" w:cs="Times New Roman"/>
          <w:sz w:val="24"/>
          <w:szCs w:val="24"/>
        </w:rPr>
        <w:t xml:space="preserve"> mursalah, tetapi dalam soal furu’ kami mendapati mereka yang beralasan dengan mutlaknya </w:t>
      </w:r>
      <w:r w:rsidR="009C15F5" w:rsidRPr="003C6B8D">
        <w:rPr>
          <w:rFonts w:ascii="Times New Roman" w:hAnsi="Times New Roman" w:cs="Times New Roman"/>
          <w:sz w:val="24"/>
          <w:szCs w:val="24"/>
        </w:rPr>
        <w:t>maslahat</w:t>
      </w:r>
      <w:r w:rsidR="001E2D88" w:rsidRPr="003C6B8D">
        <w:rPr>
          <w:rFonts w:ascii="Times New Roman" w:hAnsi="Times New Roman" w:cs="Times New Roman"/>
          <w:sz w:val="24"/>
          <w:szCs w:val="24"/>
        </w:rPr>
        <w:t xml:space="preserve"> dan munasabah padahal yang demikian adalah </w:t>
      </w:r>
      <w:r w:rsidR="009C15F5" w:rsidRPr="003C6B8D">
        <w:rPr>
          <w:rFonts w:ascii="Times New Roman" w:hAnsi="Times New Roman" w:cs="Times New Roman"/>
          <w:sz w:val="24"/>
          <w:szCs w:val="24"/>
        </w:rPr>
        <w:t>maslahat</w:t>
      </w:r>
      <w:r w:rsidR="001E2D88" w:rsidRPr="003C6B8D">
        <w:rPr>
          <w:rFonts w:ascii="Times New Roman" w:hAnsi="Times New Roman" w:cs="Times New Roman"/>
          <w:sz w:val="24"/>
          <w:szCs w:val="24"/>
        </w:rPr>
        <w:t xml:space="preserve"> mursalah.</w:t>
      </w:r>
      <w:r w:rsidR="001E2D88" w:rsidRPr="003C6B8D">
        <w:rPr>
          <w:rStyle w:val="FootnoteReference"/>
          <w:rFonts w:ascii="Times New Roman" w:hAnsi="Times New Roman" w:cs="Times New Roman"/>
          <w:sz w:val="24"/>
          <w:szCs w:val="24"/>
        </w:rPr>
        <w:footnoteReference w:id="10"/>
      </w:r>
      <w:r w:rsidR="001E2D88" w:rsidRPr="003C6B8D">
        <w:rPr>
          <w:rFonts w:ascii="Times New Roman" w:hAnsi="Times New Roman" w:cs="Times New Roman"/>
          <w:sz w:val="24"/>
          <w:szCs w:val="24"/>
        </w:rPr>
        <w:t xml:space="preserve"> </w:t>
      </w:r>
      <w:r w:rsidR="005E1EF6" w:rsidRPr="003C6B8D">
        <w:rPr>
          <w:rFonts w:ascii="Times New Roman" w:hAnsi="Times New Roman" w:cs="Times New Roman"/>
          <w:sz w:val="24"/>
          <w:szCs w:val="24"/>
        </w:rPr>
        <w:t xml:space="preserve">Ia juga mengatakan bahwa Imam al-Haraimain </w:t>
      </w:r>
      <w:r w:rsidR="0031166A" w:rsidRPr="003C6B8D">
        <w:rPr>
          <w:rFonts w:ascii="Times New Roman" w:hAnsi="Times New Roman" w:cs="Times New Roman"/>
          <w:sz w:val="24"/>
          <w:szCs w:val="24"/>
        </w:rPr>
        <w:t>(</w:t>
      </w:r>
      <w:r w:rsidR="005E1EF6" w:rsidRPr="003C6B8D">
        <w:rPr>
          <w:rFonts w:ascii="Times New Roman" w:hAnsi="Times New Roman" w:cs="Times New Roman"/>
          <w:sz w:val="24"/>
          <w:szCs w:val="24"/>
        </w:rPr>
        <w:t>Abdul Malik al-Juw</w:t>
      </w:r>
      <w:r w:rsidR="00BB2F5D" w:rsidRPr="003C6B8D">
        <w:rPr>
          <w:rFonts w:ascii="Times New Roman" w:hAnsi="Times New Roman" w:cs="Times New Roman"/>
          <w:sz w:val="24"/>
          <w:szCs w:val="24"/>
        </w:rPr>
        <w:t>ā</w:t>
      </w:r>
      <w:r w:rsidR="005E1EF6" w:rsidRPr="003C6B8D">
        <w:rPr>
          <w:rFonts w:ascii="Times New Roman" w:hAnsi="Times New Roman" w:cs="Times New Roman"/>
          <w:sz w:val="24"/>
          <w:szCs w:val="24"/>
        </w:rPr>
        <w:t>ini) menetapkan berbagai</w:t>
      </w:r>
      <w:r w:rsidR="000B37E1" w:rsidRPr="003C6B8D">
        <w:rPr>
          <w:rFonts w:ascii="Times New Roman" w:hAnsi="Times New Roman" w:cs="Times New Roman"/>
          <w:sz w:val="24"/>
          <w:szCs w:val="24"/>
        </w:rPr>
        <w:t xml:space="preserve"> perkara di dalam kitabnya al-Ghay</w:t>
      </w:r>
      <w:r w:rsidR="00BB2F5D" w:rsidRPr="003C6B8D">
        <w:rPr>
          <w:rFonts w:ascii="Times New Roman" w:hAnsi="Times New Roman" w:cs="Times New Roman"/>
          <w:sz w:val="24"/>
          <w:szCs w:val="24"/>
        </w:rPr>
        <w:t>ā</w:t>
      </w:r>
      <w:r w:rsidR="000B37E1" w:rsidRPr="003C6B8D">
        <w:rPr>
          <w:rFonts w:ascii="Times New Roman" w:hAnsi="Times New Roman" w:cs="Times New Roman"/>
          <w:sz w:val="24"/>
          <w:szCs w:val="24"/>
        </w:rPr>
        <w:t>tsi berdasarkan maslahat mursalah.</w:t>
      </w:r>
      <w:r w:rsidR="000B37E1" w:rsidRPr="003C6B8D">
        <w:rPr>
          <w:rStyle w:val="FootnoteReference"/>
          <w:rFonts w:ascii="Times New Roman" w:hAnsi="Times New Roman" w:cs="Times New Roman"/>
          <w:sz w:val="24"/>
          <w:szCs w:val="24"/>
        </w:rPr>
        <w:footnoteReference w:id="11"/>
      </w:r>
      <w:r w:rsidR="00F53C45" w:rsidRPr="003C6B8D">
        <w:rPr>
          <w:rFonts w:ascii="Times New Roman" w:hAnsi="Times New Roman" w:cs="Times New Roman"/>
          <w:sz w:val="24"/>
          <w:szCs w:val="24"/>
        </w:rPr>
        <w:t xml:space="preserve"> </w:t>
      </w:r>
    </w:p>
    <w:p w:rsidR="00291C11" w:rsidRPr="003C6B8D" w:rsidRDefault="00BB2F5D" w:rsidP="000D02F5">
      <w:pPr>
        <w:pStyle w:val="ListParagraph"/>
        <w:spacing w:line="360" w:lineRule="auto"/>
        <w:ind w:left="0" w:firstLine="720"/>
        <w:jc w:val="both"/>
        <w:rPr>
          <w:rFonts w:ascii="Times New Roman" w:hAnsi="Times New Roman" w:cs="Times New Roman"/>
          <w:b/>
          <w:bCs/>
          <w:sz w:val="24"/>
          <w:szCs w:val="24"/>
        </w:rPr>
      </w:pPr>
      <w:r w:rsidRPr="003C6B8D">
        <w:rPr>
          <w:rFonts w:ascii="Times New Roman" w:hAnsi="Times New Roman" w:cs="Times New Roman"/>
          <w:sz w:val="24"/>
          <w:szCs w:val="24"/>
        </w:rPr>
        <w:t>Al-Syaukā</w:t>
      </w:r>
      <w:r w:rsidR="002870C0" w:rsidRPr="003C6B8D">
        <w:rPr>
          <w:rFonts w:ascii="Times New Roman" w:hAnsi="Times New Roman" w:cs="Times New Roman"/>
          <w:sz w:val="24"/>
          <w:szCs w:val="24"/>
        </w:rPr>
        <w:t>ni juga berkata bahwa golongan Malikiah adalah satu-satunya maz</w:t>
      </w:r>
      <w:r w:rsidRPr="003C6B8D">
        <w:rPr>
          <w:rFonts w:ascii="Times New Roman" w:hAnsi="Times New Roman" w:cs="Times New Roman"/>
          <w:sz w:val="24"/>
          <w:szCs w:val="24"/>
        </w:rPr>
        <w:t>h</w:t>
      </w:r>
      <w:r w:rsidR="002870C0" w:rsidRPr="003C6B8D">
        <w:rPr>
          <w:rFonts w:ascii="Times New Roman" w:hAnsi="Times New Roman" w:cs="Times New Roman"/>
          <w:sz w:val="24"/>
          <w:szCs w:val="24"/>
        </w:rPr>
        <w:t xml:space="preserve">ab yang berpegang kepada maslahat mursalah. Padahalal </w:t>
      </w:r>
      <w:r w:rsidR="00F53C45" w:rsidRPr="003C6B8D">
        <w:rPr>
          <w:rFonts w:ascii="Times New Roman" w:hAnsi="Times New Roman" w:cs="Times New Roman"/>
          <w:sz w:val="24"/>
          <w:szCs w:val="24"/>
        </w:rPr>
        <w:t>al-Za</w:t>
      </w:r>
      <w:r w:rsidR="00291C11" w:rsidRPr="003C6B8D">
        <w:rPr>
          <w:rFonts w:ascii="Times New Roman" w:hAnsi="Times New Roman" w:cs="Times New Roman"/>
          <w:sz w:val="24"/>
          <w:szCs w:val="24"/>
        </w:rPr>
        <w:t>r</w:t>
      </w:r>
      <w:r w:rsidR="00F53C45" w:rsidRPr="003C6B8D">
        <w:rPr>
          <w:rFonts w:ascii="Times New Roman" w:hAnsi="Times New Roman" w:cs="Times New Roman"/>
          <w:sz w:val="24"/>
          <w:szCs w:val="24"/>
        </w:rPr>
        <w:t>k</w:t>
      </w:r>
      <w:r w:rsidRPr="003C6B8D">
        <w:rPr>
          <w:rFonts w:ascii="Times New Roman" w:hAnsi="Times New Roman" w:cs="Times New Roman"/>
          <w:sz w:val="24"/>
          <w:szCs w:val="24"/>
        </w:rPr>
        <w:t>ā</w:t>
      </w:r>
      <w:r w:rsidR="00F53C45" w:rsidRPr="003C6B8D">
        <w:rPr>
          <w:rFonts w:ascii="Times New Roman" w:hAnsi="Times New Roman" w:cs="Times New Roman"/>
          <w:sz w:val="24"/>
          <w:szCs w:val="24"/>
        </w:rPr>
        <w:t xml:space="preserve">syi mengatakan bahwa semua imam mazhab </w:t>
      </w:r>
      <w:r w:rsidR="00291C11" w:rsidRPr="003C6B8D">
        <w:rPr>
          <w:rFonts w:ascii="Times New Roman" w:hAnsi="Times New Roman" w:cs="Times New Roman"/>
          <w:sz w:val="24"/>
          <w:szCs w:val="24"/>
        </w:rPr>
        <w:t xml:space="preserve">sesungguhnya </w:t>
      </w:r>
      <w:r w:rsidR="00F53C45" w:rsidRPr="003C6B8D">
        <w:rPr>
          <w:rFonts w:ascii="Times New Roman" w:hAnsi="Times New Roman" w:cs="Times New Roman"/>
          <w:sz w:val="24"/>
          <w:szCs w:val="24"/>
        </w:rPr>
        <w:t>mengakui atau beralasan dengan mun</w:t>
      </w:r>
      <w:r w:rsidRPr="003C6B8D">
        <w:rPr>
          <w:rFonts w:ascii="Times New Roman" w:hAnsi="Times New Roman" w:cs="Times New Roman"/>
          <w:sz w:val="24"/>
          <w:szCs w:val="24"/>
        </w:rPr>
        <w:t>ā</w:t>
      </w:r>
      <w:r w:rsidR="00F53C45" w:rsidRPr="003C6B8D">
        <w:rPr>
          <w:rFonts w:ascii="Times New Roman" w:hAnsi="Times New Roman" w:cs="Times New Roman"/>
          <w:sz w:val="24"/>
          <w:szCs w:val="24"/>
        </w:rPr>
        <w:t xml:space="preserve">sabah secara mutlak dan tidak ada pengertian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mursalah kecuali munā</w:t>
      </w:r>
      <w:r w:rsidR="00F53C45" w:rsidRPr="003C6B8D">
        <w:rPr>
          <w:rFonts w:ascii="Times New Roman" w:hAnsi="Times New Roman" w:cs="Times New Roman"/>
          <w:sz w:val="24"/>
          <w:szCs w:val="24"/>
        </w:rPr>
        <w:t>sabah.</w:t>
      </w:r>
      <w:r w:rsidR="009C15F5" w:rsidRPr="003C6B8D">
        <w:rPr>
          <w:rFonts w:ascii="Times New Roman" w:hAnsi="Times New Roman" w:cs="Times New Roman"/>
          <w:sz w:val="24"/>
          <w:szCs w:val="24"/>
        </w:rPr>
        <w:t xml:space="preserve"> Dari </w:t>
      </w:r>
      <w:r w:rsidR="00E63593" w:rsidRPr="003C6B8D">
        <w:rPr>
          <w:rFonts w:ascii="Times New Roman" w:hAnsi="Times New Roman" w:cs="Times New Roman"/>
          <w:sz w:val="24"/>
          <w:szCs w:val="24"/>
        </w:rPr>
        <w:t>p</w:t>
      </w:r>
      <w:r w:rsidRPr="003C6B8D">
        <w:rPr>
          <w:rFonts w:ascii="Times New Roman" w:hAnsi="Times New Roman" w:cs="Times New Roman"/>
          <w:sz w:val="24"/>
          <w:szCs w:val="24"/>
        </w:rPr>
        <w:t>ernyataan al-Zarkā</w:t>
      </w:r>
      <w:r w:rsidR="009C15F5" w:rsidRPr="003C6B8D">
        <w:rPr>
          <w:rFonts w:ascii="Times New Roman" w:hAnsi="Times New Roman" w:cs="Times New Roman"/>
          <w:sz w:val="24"/>
          <w:szCs w:val="24"/>
        </w:rPr>
        <w:t>s</w:t>
      </w:r>
      <w:r w:rsidRPr="003C6B8D">
        <w:rPr>
          <w:rFonts w:ascii="Times New Roman" w:hAnsi="Times New Roman" w:cs="Times New Roman"/>
          <w:sz w:val="24"/>
          <w:szCs w:val="24"/>
        </w:rPr>
        <w:t>y</w:t>
      </w:r>
      <w:r w:rsidR="009C15F5" w:rsidRPr="003C6B8D">
        <w:rPr>
          <w:rFonts w:ascii="Times New Roman" w:hAnsi="Times New Roman" w:cs="Times New Roman"/>
          <w:sz w:val="24"/>
          <w:szCs w:val="24"/>
        </w:rPr>
        <w:t xml:space="preserve">i dipahami bahwa </w:t>
      </w:r>
      <w:r w:rsidR="00A46A2E" w:rsidRPr="003C6B8D">
        <w:rPr>
          <w:rFonts w:ascii="Times New Roman" w:hAnsi="Times New Roman" w:cs="Times New Roman"/>
          <w:sz w:val="24"/>
          <w:szCs w:val="24"/>
        </w:rPr>
        <w:t>para imam mazhab seperti Han</w:t>
      </w:r>
      <w:r w:rsidRPr="003C6B8D">
        <w:rPr>
          <w:rFonts w:ascii="Times New Roman" w:hAnsi="Times New Roman" w:cs="Times New Roman"/>
          <w:sz w:val="24"/>
          <w:szCs w:val="24"/>
        </w:rPr>
        <w:t>ā</w:t>
      </w:r>
      <w:r w:rsidR="00A46A2E" w:rsidRPr="003C6B8D">
        <w:rPr>
          <w:rFonts w:ascii="Times New Roman" w:hAnsi="Times New Roman" w:cs="Times New Roman"/>
          <w:sz w:val="24"/>
          <w:szCs w:val="24"/>
        </w:rPr>
        <w:t>fi dan Sy</w:t>
      </w:r>
      <w:r w:rsidRPr="003C6B8D">
        <w:rPr>
          <w:rFonts w:ascii="Times New Roman" w:hAnsi="Times New Roman" w:cs="Times New Roman"/>
          <w:sz w:val="24"/>
          <w:szCs w:val="24"/>
        </w:rPr>
        <w:t>ā</w:t>
      </w:r>
      <w:r w:rsidR="00A46A2E" w:rsidRPr="003C6B8D">
        <w:rPr>
          <w:rFonts w:ascii="Times New Roman" w:hAnsi="Times New Roman" w:cs="Times New Roman"/>
          <w:sz w:val="24"/>
          <w:szCs w:val="24"/>
        </w:rPr>
        <w:t xml:space="preserve">fi’i tetap menggunakan </w:t>
      </w:r>
      <w:r w:rsidR="009C15F5" w:rsidRPr="003C6B8D">
        <w:rPr>
          <w:rFonts w:ascii="Times New Roman" w:hAnsi="Times New Roman" w:cs="Times New Roman"/>
          <w:sz w:val="24"/>
          <w:szCs w:val="24"/>
        </w:rPr>
        <w:t>maslahat</w:t>
      </w:r>
      <w:r w:rsidR="00A46A2E" w:rsidRPr="003C6B8D">
        <w:rPr>
          <w:rFonts w:ascii="Times New Roman" w:hAnsi="Times New Roman" w:cs="Times New Roman"/>
          <w:sz w:val="24"/>
          <w:szCs w:val="24"/>
        </w:rPr>
        <w:t>, hanya saja m</w:t>
      </w:r>
      <w:r w:rsidRPr="003C6B8D">
        <w:rPr>
          <w:rFonts w:ascii="Times New Roman" w:hAnsi="Times New Roman" w:cs="Times New Roman"/>
          <w:sz w:val="24"/>
          <w:szCs w:val="24"/>
        </w:rPr>
        <w:t>ereka memasukkannya kedalam qiyā</w:t>
      </w:r>
      <w:r w:rsidR="00A46A2E" w:rsidRPr="003C6B8D">
        <w:rPr>
          <w:rFonts w:ascii="Times New Roman" w:hAnsi="Times New Roman" w:cs="Times New Roman"/>
          <w:sz w:val="24"/>
          <w:szCs w:val="24"/>
        </w:rPr>
        <w:t>s yaitu jika terdapat hukum ashal yang dapat diqiyaskan kepadanya dan juga terdapat illat mundabit (tepat), sehingga terdapat tempat untuk me</w:t>
      </w:r>
      <w:r w:rsidR="005D7D46" w:rsidRPr="003C6B8D">
        <w:rPr>
          <w:rFonts w:ascii="Times New Roman" w:hAnsi="Times New Roman" w:cs="Times New Roman"/>
          <w:sz w:val="24"/>
          <w:szCs w:val="24"/>
        </w:rPr>
        <w:t>realisir kemaslahatan yang berdasar pada syari’.</w:t>
      </w:r>
    </w:p>
    <w:p w:rsidR="00907C5A" w:rsidRPr="003C6B8D" w:rsidRDefault="008113BF"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U</w:t>
      </w:r>
      <w:r w:rsidR="00975DC3" w:rsidRPr="003C6B8D">
        <w:rPr>
          <w:rFonts w:ascii="Times New Roman" w:hAnsi="Times New Roman" w:cs="Times New Roman"/>
          <w:sz w:val="24"/>
          <w:szCs w:val="24"/>
        </w:rPr>
        <w:t xml:space="preserve">ntuk menerapkan </w:t>
      </w:r>
      <w:r w:rsidR="009C15F5" w:rsidRPr="003C6B8D">
        <w:rPr>
          <w:rFonts w:ascii="Times New Roman" w:hAnsi="Times New Roman" w:cs="Times New Roman"/>
          <w:sz w:val="24"/>
          <w:szCs w:val="24"/>
        </w:rPr>
        <w:t>maslahat</w:t>
      </w:r>
      <w:r w:rsidR="00975DC3" w:rsidRPr="003C6B8D">
        <w:rPr>
          <w:rFonts w:ascii="Times New Roman" w:hAnsi="Times New Roman" w:cs="Times New Roman"/>
          <w:sz w:val="24"/>
          <w:szCs w:val="24"/>
        </w:rPr>
        <w:t xml:space="preserve"> </w:t>
      </w:r>
      <w:r w:rsidR="00907C5A" w:rsidRPr="003C6B8D">
        <w:rPr>
          <w:rFonts w:ascii="Times New Roman" w:hAnsi="Times New Roman" w:cs="Times New Roman"/>
          <w:sz w:val="24"/>
          <w:szCs w:val="24"/>
        </w:rPr>
        <w:t>mursalah ini diperlukan beberapa syarat, yaitu persoalan yang diijtihadkan harus sesuatu yang menyinggung persoalan-persoalan yang berhubungan dengan keman</w:t>
      </w:r>
      <w:r w:rsidR="00291C11" w:rsidRPr="003C6B8D">
        <w:rPr>
          <w:rFonts w:ascii="Times New Roman" w:hAnsi="Times New Roman" w:cs="Times New Roman"/>
          <w:sz w:val="24"/>
          <w:szCs w:val="24"/>
        </w:rPr>
        <w:t>u</w:t>
      </w:r>
      <w:r w:rsidR="00907C5A" w:rsidRPr="003C6B8D">
        <w:rPr>
          <w:rFonts w:ascii="Times New Roman" w:hAnsi="Times New Roman" w:cs="Times New Roman"/>
          <w:sz w:val="24"/>
          <w:szCs w:val="24"/>
        </w:rPr>
        <w:t>siaan sehingga kepentingan yang termasuk di dalamnya dapat ditafsirkan oleh akal. Kepenti</w:t>
      </w:r>
      <w:r w:rsidR="00291C11" w:rsidRPr="003C6B8D">
        <w:rPr>
          <w:rFonts w:ascii="Times New Roman" w:hAnsi="Times New Roman" w:cs="Times New Roman"/>
          <w:sz w:val="24"/>
          <w:szCs w:val="24"/>
        </w:rPr>
        <w:t>n</w:t>
      </w:r>
      <w:r w:rsidR="00907C5A" w:rsidRPr="003C6B8D">
        <w:rPr>
          <w:rFonts w:ascii="Times New Roman" w:hAnsi="Times New Roman" w:cs="Times New Roman"/>
          <w:sz w:val="24"/>
          <w:szCs w:val="24"/>
        </w:rPr>
        <w:t>gan tersebut harus sejalan dengan jiwa syari’at dan tidak bertentangan dengan al-Qur’an dan al-Sunnah</w:t>
      </w:r>
      <w:r w:rsidR="00DC4B77" w:rsidRPr="003C6B8D">
        <w:rPr>
          <w:rFonts w:ascii="Times New Roman" w:hAnsi="Times New Roman" w:cs="Times New Roman"/>
          <w:sz w:val="24"/>
          <w:szCs w:val="24"/>
        </w:rPr>
        <w:t>. Kepentingan i</w:t>
      </w:r>
      <w:r w:rsidR="00D64283" w:rsidRPr="003C6B8D">
        <w:rPr>
          <w:rFonts w:ascii="Times New Roman" w:hAnsi="Times New Roman" w:cs="Times New Roman"/>
          <w:sz w:val="24"/>
          <w:szCs w:val="24"/>
        </w:rPr>
        <w:t>tu bersifat darū</w:t>
      </w:r>
      <w:r w:rsidR="00DC4B77" w:rsidRPr="003C6B8D">
        <w:rPr>
          <w:rFonts w:ascii="Times New Roman" w:hAnsi="Times New Roman" w:cs="Times New Roman"/>
          <w:sz w:val="24"/>
          <w:szCs w:val="24"/>
        </w:rPr>
        <w:t>ry, bukan hajj</w:t>
      </w:r>
      <w:r w:rsidR="00D64283" w:rsidRPr="003C6B8D">
        <w:rPr>
          <w:rFonts w:ascii="Times New Roman" w:hAnsi="Times New Roman" w:cs="Times New Roman"/>
          <w:sz w:val="24"/>
          <w:szCs w:val="24"/>
        </w:rPr>
        <w:t>ī</w:t>
      </w:r>
      <w:r w:rsidR="00DC4B77" w:rsidRPr="003C6B8D">
        <w:rPr>
          <w:rFonts w:ascii="Times New Roman" w:hAnsi="Times New Roman" w:cs="Times New Roman"/>
          <w:sz w:val="24"/>
          <w:szCs w:val="24"/>
        </w:rPr>
        <w:t xml:space="preserve"> dan bukan tahs</w:t>
      </w:r>
      <w:r w:rsidR="00D64283" w:rsidRPr="003C6B8D">
        <w:rPr>
          <w:rFonts w:ascii="Times New Roman" w:hAnsi="Times New Roman" w:cs="Times New Roman"/>
          <w:sz w:val="24"/>
          <w:szCs w:val="24"/>
        </w:rPr>
        <w:t>ī</w:t>
      </w:r>
      <w:r w:rsidR="00DC4B77" w:rsidRPr="003C6B8D">
        <w:rPr>
          <w:rFonts w:ascii="Times New Roman" w:hAnsi="Times New Roman" w:cs="Times New Roman"/>
          <w:sz w:val="24"/>
          <w:szCs w:val="24"/>
        </w:rPr>
        <w:t>ni.</w:t>
      </w:r>
    </w:p>
    <w:p w:rsidR="008113BF" w:rsidRPr="003C6B8D" w:rsidRDefault="008113BF"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lastRenderedPageBreak/>
        <w:t>Lebih</w:t>
      </w:r>
      <w:r w:rsidR="00BB2F5D" w:rsidRPr="003C6B8D">
        <w:rPr>
          <w:rFonts w:ascii="Times New Roman" w:hAnsi="Times New Roman" w:cs="Times New Roman"/>
          <w:sz w:val="24"/>
          <w:szCs w:val="24"/>
        </w:rPr>
        <w:t xml:space="preserve"> lanjut, ulama Malikiah dan Hanā</w:t>
      </w:r>
      <w:r w:rsidRPr="003C6B8D">
        <w:rPr>
          <w:rFonts w:ascii="Times New Roman" w:hAnsi="Times New Roman" w:cs="Times New Roman"/>
          <w:sz w:val="24"/>
          <w:szCs w:val="24"/>
        </w:rPr>
        <w:t xml:space="preserve">bilah mensyaratkan dalam menetapkan </w:t>
      </w:r>
      <w:r w:rsidR="00284CA5" w:rsidRPr="003C6B8D">
        <w:rPr>
          <w:rFonts w:ascii="Times New Roman" w:hAnsi="Times New Roman" w:cs="Times New Roman"/>
          <w:sz w:val="24"/>
          <w:szCs w:val="24"/>
        </w:rPr>
        <w:t>maslahat mursalah</w:t>
      </w:r>
      <w:r w:rsidRPr="003C6B8D">
        <w:rPr>
          <w:rFonts w:ascii="Times New Roman" w:hAnsi="Times New Roman" w:cs="Times New Roman"/>
          <w:sz w:val="24"/>
          <w:szCs w:val="24"/>
        </w:rPr>
        <w:t xml:space="preserve"> sebagai dalil hu</w:t>
      </w:r>
      <w:r w:rsidR="006C7568" w:rsidRPr="003C6B8D">
        <w:rPr>
          <w:rFonts w:ascii="Times New Roman" w:hAnsi="Times New Roman" w:cs="Times New Roman"/>
          <w:sz w:val="24"/>
          <w:szCs w:val="24"/>
        </w:rPr>
        <w:t xml:space="preserve">kum yaitu kemaslahatan itu sejalan dengan kehendak syara’ dan termasuk dalam jenis kemaslahatan yang didukung nash secara umum. Kemasalahatan itu bersifat rasional dan pasti, bukan sekedar perkiraan sehingga hukum yang ditetapkan melalui </w:t>
      </w:r>
      <w:r w:rsidR="00284CA5" w:rsidRPr="003C6B8D">
        <w:rPr>
          <w:rFonts w:ascii="Times New Roman" w:hAnsi="Times New Roman" w:cs="Times New Roman"/>
          <w:sz w:val="24"/>
          <w:szCs w:val="24"/>
        </w:rPr>
        <w:t>maslahat mursalah</w:t>
      </w:r>
      <w:r w:rsidR="006C7568" w:rsidRPr="003C6B8D">
        <w:rPr>
          <w:rFonts w:ascii="Times New Roman" w:hAnsi="Times New Roman" w:cs="Times New Roman"/>
          <w:sz w:val="24"/>
          <w:szCs w:val="24"/>
        </w:rPr>
        <w:t xml:space="preserve"> itu benar-benar menghasilkan manfaat dan menghindari atau menolak kemudharatan. Kemaslahata</w:t>
      </w:r>
      <w:r w:rsidR="000555D8" w:rsidRPr="003C6B8D">
        <w:rPr>
          <w:rFonts w:ascii="Times New Roman" w:hAnsi="Times New Roman" w:cs="Times New Roman"/>
          <w:sz w:val="24"/>
          <w:szCs w:val="24"/>
        </w:rPr>
        <w:t>n</w:t>
      </w:r>
      <w:r w:rsidR="006C7568" w:rsidRPr="003C6B8D">
        <w:rPr>
          <w:rFonts w:ascii="Times New Roman" w:hAnsi="Times New Roman" w:cs="Times New Roman"/>
          <w:sz w:val="24"/>
          <w:szCs w:val="24"/>
        </w:rPr>
        <w:t xml:space="preserve"> itu menyangkut kepenti</w:t>
      </w:r>
      <w:r w:rsidR="00C779A4" w:rsidRPr="003C6B8D">
        <w:rPr>
          <w:rFonts w:ascii="Times New Roman" w:hAnsi="Times New Roman" w:cs="Times New Roman"/>
          <w:sz w:val="24"/>
          <w:szCs w:val="24"/>
        </w:rPr>
        <w:t>n</w:t>
      </w:r>
      <w:r w:rsidR="006C7568" w:rsidRPr="003C6B8D">
        <w:rPr>
          <w:rFonts w:ascii="Times New Roman" w:hAnsi="Times New Roman" w:cs="Times New Roman"/>
          <w:sz w:val="24"/>
          <w:szCs w:val="24"/>
        </w:rPr>
        <w:t>gan orang banyak bukan kepentingan pribadi ata</w:t>
      </w:r>
      <w:r w:rsidR="00C779A4" w:rsidRPr="003C6B8D">
        <w:rPr>
          <w:rFonts w:ascii="Times New Roman" w:hAnsi="Times New Roman" w:cs="Times New Roman"/>
          <w:sz w:val="24"/>
          <w:szCs w:val="24"/>
        </w:rPr>
        <w:t>u</w:t>
      </w:r>
      <w:r w:rsidR="006C7568" w:rsidRPr="003C6B8D">
        <w:rPr>
          <w:rFonts w:ascii="Times New Roman" w:hAnsi="Times New Roman" w:cs="Times New Roman"/>
          <w:sz w:val="24"/>
          <w:szCs w:val="24"/>
        </w:rPr>
        <w:t xml:space="preserve"> golongan atau kelompok kecil tertentu.</w:t>
      </w:r>
      <w:r w:rsidR="006C7568" w:rsidRPr="003C6B8D">
        <w:rPr>
          <w:rStyle w:val="FootnoteReference"/>
          <w:rFonts w:ascii="Times New Roman" w:hAnsi="Times New Roman" w:cs="Times New Roman"/>
          <w:sz w:val="24"/>
          <w:szCs w:val="24"/>
        </w:rPr>
        <w:footnoteReference w:id="12"/>
      </w:r>
    </w:p>
    <w:p w:rsidR="000555D8" w:rsidRPr="003C6B8D" w:rsidRDefault="00C779A4"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Karena itu, dapat disimpulkan bahwa penggunaan metode maslahat mursalah bagi Imam M</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lik sesungguhnya tidak keluar dari cakupan nash walaupun maslahat tidak ditunjuk oleh nash yang khusus namun tetap sesuai dengan tindakan syara’ yang dasar hukumnya disimpulkan dari sejumlah nash yang menunjukkan kepada prinsip-prinsip umum dan ini adalah bentuk dalil yang kuat. </w:t>
      </w:r>
    </w:p>
    <w:p w:rsidR="000555D8" w:rsidRPr="003C6B8D" w:rsidRDefault="00BB2F5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Golongan Malikī dan Hambalī</w:t>
      </w:r>
      <w:r w:rsidR="002D01F8" w:rsidRPr="003C6B8D">
        <w:rPr>
          <w:rFonts w:ascii="Times New Roman" w:hAnsi="Times New Roman" w:cs="Times New Roman"/>
          <w:sz w:val="24"/>
          <w:szCs w:val="24"/>
        </w:rPr>
        <w:t xml:space="preserve"> mengguna</w:t>
      </w:r>
      <w:r w:rsidR="000555D8" w:rsidRPr="003C6B8D">
        <w:rPr>
          <w:rFonts w:ascii="Times New Roman" w:hAnsi="Times New Roman" w:cs="Times New Roman"/>
          <w:sz w:val="24"/>
          <w:szCs w:val="24"/>
        </w:rPr>
        <w:t>k</w:t>
      </w:r>
      <w:r w:rsidR="002D01F8" w:rsidRPr="003C6B8D">
        <w:rPr>
          <w:rFonts w:ascii="Times New Roman" w:hAnsi="Times New Roman" w:cs="Times New Roman"/>
          <w:sz w:val="24"/>
          <w:szCs w:val="24"/>
        </w:rPr>
        <w:t>an mas</w:t>
      </w:r>
      <w:r w:rsidRPr="003C6B8D">
        <w:rPr>
          <w:rFonts w:ascii="Times New Roman" w:hAnsi="Times New Roman" w:cs="Times New Roman"/>
          <w:sz w:val="24"/>
          <w:szCs w:val="24"/>
        </w:rPr>
        <w:t>lahat mursalah karena sifat munā</w:t>
      </w:r>
      <w:r w:rsidR="002D01F8" w:rsidRPr="003C6B8D">
        <w:rPr>
          <w:rFonts w:ascii="Times New Roman" w:hAnsi="Times New Roman" w:cs="Times New Roman"/>
          <w:sz w:val="24"/>
          <w:szCs w:val="24"/>
        </w:rPr>
        <w:t>sib yang merupakan alasan adanya maslahat meskipun tidak jelas batasannya patut menjadi illat bagi qiy</w:t>
      </w:r>
      <w:r w:rsidRPr="003C6B8D">
        <w:rPr>
          <w:rFonts w:ascii="Times New Roman" w:hAnsi="Times New Roman" w:cs="Times New Roman"/>
          <w:sz w:val="24"/>
          <w:szCs w:val="24"/>
        </w:rPr>
        <w:t>ās. Kalau memang sifat munā</w:t>
      </w:r>
      <w:r w:rsidR="002D01F8" w:rsidRPr="003C6B8D">
        <w:rPr>
          <w:rFonts w:ascii="Times New Roman" w:hAnsi="Times New Roman" w:cs="Times New Roman"/>
          <w:sz w:val="24"/>
          <w:szCs w:val="24"/>
        </w:rPr>
        <w:t>sib layak dijadikan illat, maka berarti maslahat mursa</w:t>
      </w:r>
      <w:r w:rsidRPr="003C6B8D">
        <w:rPr>
          <w:rFonts w:ascii="Times New Roman" w:hAnsi="Times New Roman" w:cs="Times New Roman"/>
          <w:sz w:val="24"/>
          <w:szCs w:val="24"/>
        </w:rPr>
        <w:t>lah termasuk ke dalam macam qiyā</w:t>
      </w:r>
      <w:r w:rsidR="002D01F8" w:rsidRPr="003C6B8D">
        <w:rPr>
          <w:rFonts w:ascii="Times New Roman" w:hAnsi="Times New Roman" w:cs="Times New Roman"/>
          <w:sz w:val="24"/>
          <w:szCs w:val="24"/>
        </w:rPr>
        <w:t>s</w:t>
      </w:r>
      <w:r w:rsidR="000555D8" w:rsidRPr="003C6B8D">
        <w:rPr>
          <w:rFonts w:ascii="Times New Roman" w:hAnsi="Times New Roman" w:cs="Times New Roman"/>
          <w:sz w:val="24"/>
          <w:szCs w:val="24"/>
        </w:rPr>
        <w:t>,</w:t>
      </w:r>
      <w:r w:rsidR="002D01F8" w:rsidRPr="003C6B8D">
        <w:rPr>
          <w:rFonts w:ascii="Times New Roman" w:hAnsi="Times New Roman" w:cs="Times New Roman"/>
          <w:sz w:val="24"/>
          <w:szCs w:val="24"/>
        </w:rPr>
        <w:t xml:space="preserve"> karenanya ia dapat diterima sebagai sumber hukum seb</w:t>
      </w:r>
      <w:r w:rsidRPr="003C6B8D">
        <w:rPr>
          <w:rFonts w:ascii="Times New Roman" w:hAnsi="Times New Roman" w:cs="Times New Roman"/>
          <w:sz w:val="24"/>
          <w:szCs w:val="24"/>
        </w:rPr>
        <w:t>agaimana halnya diterimanya qiyā</w:t>
      </w:r>
      <w:r w:rsidR="002D01F8" w:rsidRPr="003C6B8D">
        <w:rPr>
          <w:rFonts w:ascii="Times New Roman" w:hAnsi="Times New Roman" w:cs="Times New Roman"/>
          <w:sz w:val="24"/>
          <w:szCs w:val="24"/>
        </w:rPr>
        <w:t>s berdasarkan sifat mun</w:t>
      </w:r>
      <w:r w:rsidRPr="003C6B8D">
        <w:rPr>
          <w:rFonts w:ascii="Times New Roman" w:hAnsi="Times New Roman" w:cs="Times New Roman"/>
          <w:sz w:val="24"/>
          <w:szCs w:val="24"/>
        </w:rPr>
        <w:t>ā</w:t>
      </w:r>
      <w:r w:rsidR="002D01F8" w:rsidRPr="003C6B8D">
        <w:rPr>
          <w:rFonts w:ascii="Times New Roman" w:hAnsi="Times New Roman" w:cs="Times New Roman"/>
          <w:sz w:val="24"/>
          <w:szCs w:val="24"/>
        </w:rPr>
        <w:t>sib yaitu hikmah tanpa memandang apakah illat itu mundhabitah atau tidak karena begitu dekatnya pengertian sifat mun</w:t>
      </w:r>
      <w:r w:rsidRPr="003C6B8D">
        <w:rPr>
          <w:rFonts w:ascii="Times New Roman" w:hAnsi="Times New Roman" w:cs="Times New Roman"/>
          <w:sz w:val="24"/>
          <w:szCs w:val="24"/>
        </w:rPr>
        <w:t>ā</w:t>
      </w:r>
      <w:r w:rsidR="002D01F8" w:rsidRPr="003C6B8D">
        <w:rPr>
          <w:rFonts w:ascii="Times New Roman" w:hAnsi="Times New Roman" w:cs="Times New Roman"/>
          <w:sz w:val="24"/>
          <w:szCs w:val="24"/>
        </w:rPr>
        <w:t xml:space="preserve">sib dan maslahat mursalah sehingga </w:t>
      </w:r>
      <w:r w:rsidRPr="003C6B8D">
        <w:rPr>
          <w:rFonts w:ascii="Times New Roman" w:hAnsi="Times New Roman" w:cs="Times New Roman"/>
          <w:sz w:val="24"/>
          <w:szCs w:val="24"/>
        </w:rPr>
        <w:t>sebagian ulama Malikī</w:t>
      </w:r>
      <w:r w:rsidR="002D01F8" w:rsidRPr="003C6B8D">
        <w:rPr>
          <w:rFonts w:ascii="Times New Roman" w:hAnsi="Times New Roman" w:cs="Times New Roman"/>
          <w:sz w:val="24"/>
          <w:szCs w:val="24"/>
        </w:rPr>
        <w:t xml:space="preserve"> menganggap bahwa sesungguhnya semua ulama ahli fiqh memakai dalil maslahat meskipu</w:t>
      </w:r>
      <w:r w:rsidRPr="003C6B8D">
        <w:rPr>
          <w:rFonts w:ascii="Times New Roman" w:hAnsi="Times New Roman" w:cs="Times New Roman"/>
          <w:sz w:val="24"/>
          <w:szCs w:val="24"/>
        </w:rPr>
        <w:t>n mereka menamakannya sifat munā</w:t>
      </w:r>
      <w:r w:rsidR="002D01F8" w:rsidRPr="003C6B8D">
        <w:rPr>
          <w:rFonts w:ascii="Times New Roman" w:hAnsi="Times New Roman" w:cs="Times New Roman"/>
          <w:sz w:val="24"/>
          <w:szCs w:val="24"/>
        </w:rPr>
        <w:t>sib atau memasukkannya ke dalam bagian qiy</w:t>
      </w:r>
      <w:r w:rsidRPr="003C6B8D">
        <w:rPr>
          <w:rFonts w:ascii="Times New Roman" w:hAnsi="Times New Roman" w:cs="Times New Roman"/>
          <w:sz w:val="24"/>
          <w:szCs w:val="24"/>
        </w:rPr>
        <w:t>ā</w:t>
      </w:r>
      <w:r w:rsidR="002D01F8" w:rsidRPr="003C6B8D">
        <w:rPr>
          <w:rFonts w:ascii="Times New Roman" w:hAnsi="Times New Roman" w:cs="Times New Roman"/>
          <w:sz w:val="24"/>
          <w:szCs w:val="24"/>
        </w:rPr>
        <w:t>s.</w:t>
      </w:r>
      <w:r w:rsidR="002D01F8" w:rsidRPr="003C6B8D">
        <w:rPr>
          <w:rStyle w:val="FootnoteReference"/>
          <w:rFonts w:ascii="Times New Roman" w:hAnsi="Times New Roman" w:cs="Times New Roman"/>
          <w:sz w:val="24"/>
          <w:szCs w:val="24"/>
        </w:rPr>
        <w:footnoteReference w:id="13"/>
      </w:r>
    </w:p>
    <w:p w:rsidR="000555D8" w:rsidRPr="003C6B8D" w:rsidRDefault="002D01F8"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lastRenderedPageBreak/>
        <w:t>Dalam hal ini, imam al-Qar</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 xml:space="preserve">ffi berkata bahwa maslahat mursalah ternyata terdapat pada seluruh mazhab sebab mereka ada </w:t>
      </w:r>
      <w:r w:rsidR="00BB2F5D" w:rsidRPr="003C6B8D">
        <w:rPr>
          <w:rFonts w:ascii="Times New Roman" w:hAnsi="Times New Roman" w:cs="Times New Roman"/>
          <w:sz w:val="24"/>
          <w:szCs w:val="24"/>
        </w:rPr>
        <w:t>yang menggunakan pendekatan qiyā</w:t>
      </w:r>
      <w:r w:rsidRPr="003C6B8D">
        <w:rPr>
          <w:rFonts w:ascii="Times New Roman" w:hAnsi="Times New Roman" w:cs="Times New Roman"/>
          <w:sz w:val="24"/>
          <w:szCs w:val="24"/>
        </w:rPr>
        <w:t>s dan ada yang menggunakan pendekatan sifat mun</w:t>
      </w:r>
      <w:r w:rsidR="00BB2F5D" w:rsidRPr="003C6B8D">
        <w:rPr>
          <w:rFonts w:ascii="Times New Roman" w:hAnsi="Times New Roman" w:cs="Times New Roman"/>
          <w:sz w:val="24"/>
          <w:szCs w:val="24"/>
        </w:rPr>
        <w:t>ā</w:t>
      </w:r>
      <w:r w:rsidRPr="003C6B8D">
        <w:rPr>
          <w:rFonts w:ascii="Times New Roman" w:hAnsi="Times New Roman" w:cs="Times New Roman"/>
          <w:sz w:val="24"/>
          <w:szCs w:val="24"/>
        </w:rPr>
        <w:t>sib yang menganggap tidak perlu adanya dalil. Padahal itulah yang dimaksud dengan maslahat mursalah dan di antara yang menguatkan diterapkannya dalil maslahat mursalah ialah</w:t>
      </w:r>
      <w:r w:rsidR="000555D8" w:rsidRPr="003C6B8D">
        <w:rPr>
          <w:rFonts w:ascii="Times New Roman" w:hAnsi="Times New Roman" w:cs="Times New Roman"/>
          <w:sz w:val="24"/>
          <w:szCs w:val="24"/>
        </w:rPr>
        <w:t xml:space="preserve"> adanya</w:t>
      </w:r>
      <w:r w:rsidRPr="003C6B8D">
        <w:rPr>
          <w:rFonts w:ascii="Times New Roman" w:hAnsi="Times New Roman" w:cs="Times New Roman"/>
          <w:sz w:val="24"/>
          <w:szCs w:val="24"/>
        </w:rPr>
        <w:t xml:space="preserve"> praktik-praktik sahabat dalam berbagai hal karena alasan maslahat secara mutlak bukan karena adanya dalil yang menunjukkan hukum mengenai hal tersebut.</w:t>
      </w:r>
    </w:p>
    <w:p w:rsidR="002D01F8" w:rsidRPr="003C6B8D" w:rsidRDefault="002D01F8"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Dari uraian di atas dipahami bahwa maslahat mursalah tidak terlepas sama s</w:t>
      </w:r>
      <w:r w:rsidR="00BB2F5D" w:rsidRPr="003C6B8D">
        <w:rPr>
          <w:rFonts w:ascii="Times New Roman" w:hAnsi="Times New Roman" w:cs="Times New Roman"/>
          <w:sz w:val="24"/>
          <w:szCs w:val="24"/>
        </w:rPr>
        <w:t>ekali dari dalil syari’ dan qiyā</w:t>
      </w:r>
      <w:r w:rsidRPr="003C6B8D">
        <w:rPr>
          <w:rFonts w:ascii="Times New Roman" w:hAnsi="Times New Roman" w:cs="Times New Roman"/>
          <w:sz w:val="24"/>
          <w:szCs w:val="24"/>
        </w:rPr>
        <w:t>s bahkan tetap sejalan dengan pesan syari’at. Karena itu, konsep mas</w:t>
      </w:r>
      <w:r w:rsidR="00BB2F5D" w:rsidRPr="003C6B8D">
        <w:rPr>
          <w:rFonts w:ascii="Times New Roman" w:hAnsi="Times New Roman" w:cs="Times New Roman"/>
          <w:sz w:val="24"/>
          <w:szCs w:val="24"/>
        </w:rPr>
        <w:t>l</w:t>
      </w:r>
      <w:r w:rsidRPr="003C6B8D">
        <w:rPr>
          <w:rFonts w:ascii="Times New Roman" w:hAnsi="Times New Roman" w:cs="Times New Roman"/>
          <w:sz w:val="24"/>
          <w:szCs w:val="24"/>
        </w:rPr>
        <w:t>ahat mursalah ini dapat dikembangkan di masa sekarang selama kebutuhan itu sangat mendesak untuk kepentingan umum, misalnya pengadaan penjara, peraturan lalu lintas, sistem penggajian pegawai dan lain-lain.</w:t>
      </w:r>
    </w:p>
    <w:p w:rsidR="00170A0C" w:rsidRPr="003C6B8D" w:rsidRDefault="00DC4B77"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 xml:space="preserve">Dengan teori </w:t>
      </w:r>
      <w:r w:rsidR="009C15F5" w:rsidRPr="003C6B8D">
        <w:rPr>
          <w:rFonts w:ascii="Times New Roman" w:hAnsi="Times New Roman" w:cs="Times New Roman"/>
          <w:sz w:val="24"/>
          <w:szCs w:val="24"/>
        </w:rPr>
        <w:t>maslahat</w:t>
      </w:r>
      <w:r w:rsidRPr="003C6B8D">
        <w:rPr>
          <w:rFonts w:ascii="Times New Roman" w:hAnsi="Times New Roman" w:cs="Times New Roman"/>
          <w:sz w:val="24"/>
          <w:szCs w:val="24"/>
        </w:rPr>
        <w:t xml:space="preserve"> mursalah yang</w:t>
      </w:r>
      <w:r w:rsidR="00BB2F5D" w:rsidRPr="003C6B8D">
        <w:rPr>
          <w:rFonts w:ascii="Times New Roman" w:hAnsi="Times New Roman" w:cs="Times New Roman"/>
          <w:sz w:val="24"/>
          <w:szCs w:val="24"/>
        </w:rPr>
        <w:t xml:space="preserve"> dikembangkan oleh mazhab Malikī, maka sebenarnya mazhab Malikī</w:t>
      </w:r>
      <w:r w:rsidRPr="003C6B8D">
        <w:rPr>
          <w:rFonts w:ascii="Times New Roman" w:hAnsi="Times New Roman" w:cs="Times New Roman"/>
          <w:sz w:val="24"/>
          <w:szCs w:val="24"/>
        </w:rPr>
        <w:t xml:space="preserve"> tidak terlalu terikat de</w:t>
      </w:r>
      <w:r w:rsidR="00BB2F5D" w:rsidRPr="003C6B8D">
        <w:rPr>
          <w:rFonts w:ascii="Times New Roman" w:hAnsi="Times New Roman" w:cs="Times New Roman"/>
          <w:sz w:val="24"/>
          <w:szCs w:val="24"/>
        </w:rPr>
        <w:t>ngan pemikiran fiqh ahlu al-hadī</w:t>
      </w:r>
      <w:r w:rsidRPr="003C6B8D">
        <w:rPr>
          <w:rFonts w:ascii="Times New Roman" w:hAnsi="Times New Roman" w:cs="Times New Roman"/>
          <w:sz w:val="24"/>
          <w:szCs w:val="24"/>
        </w:rPr>
        <w:t>s generasi sebelumnya, seperti yang dikembangkan secara konsisten ol</w:t>
      </w:r>
      <w:r w:rsidR="000555D8" w:rsidRPr="003C6B8D">
        <w:rPr>
          <w:rFonts w:ascii="Times New Roman" w:hAnsi="Times New Roman" w:cs="Times New Roman"/>
          <w:sz w:val="24"/>
          <w:szCs w:val="24"/>
        </w:rPr>
        <w:t>eh Ahmad bin Hanbal dan mazhab Z</w:t>
      </w:r>
      <w:r w:rsidR="00BB2F5D" w:rsidRPr="003C6B8D">
        <w:rPr>
          <w:rFonts w:ascii="Times New Roman" w:hAnsi="Times New Roman" w:cs="Times New Roman"/>
          <w:sz w:val="24"/>
          <w:szCs w:val="24"/>
        </w:rPr>
        <w:t>hahī</w:t>
      </w:r>
      <w:r w:rsidRPr="003C6B8D">
        <w:rPr>
          <w:rFonts w:ascii="Times New Roman" w:hAnsi="Times New Roman" w:cs="Times New Roman"/>
          <w:sz w:val="24"/>
          <w:szCs w:val="24"/>
        </w:rPr>
        <w:t xml:space="preserve">ri. </w:t>
      </w:r>
    </w:p>
    <w:p w:rsidR="006A503D" w:rsidRPr="00847C78" w:rsidRDefault="006A503D" w:rsidP="000D02F5">
      <w:pPr>
        <w:pStyle w:val="ListParagraph"/>
        <w:numPr>
          <w:ilvl w:val="0"/>
          <w:numId w:val="1"/>
        </w:numPr>
        <w:tabs>
          <w:tab w:val="num" w:pos="360"/>
        </w:tabs>
        <w:spacing w:line="360" w:lineRule="auto"/>
        <w:jc w:val="both"/>
        <w:rPr>
          <w:rFonts w:ascii="Times New Roman" w:hAnsi="Times New Roman" w:cs="Times New Roman"/>
          <w:sz w:val="24"/>
          <w:szCs w:val="24"/>
          <w:lang w:val="id-ID"/>
        </w:rPr>
      </w:pPr>
      <w:r w:rsidRPr="00847C78">
        <w:rPr>
          <w:rFonts w:ascii="Times New Roman" w:hAnsi="Times New Roman" w:cs="Times New Roman"/>
          <w:b/>
          <w:bCs/>
          <w:sz w:val="24"/>
          <w:szCs w:val="24"/>
        </w:rPr>
        <w:t>Imam al-Ghazali dan Corak Pemikiran Hukumnya</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Nama lengkap al-Ghazali adalah Abu Hamid Muhammad ibn Muhammad ibn Taus Ahmad al-Tusi al-Syafi’i. Ia lahir pada tahun 450 H/ 1058 M di desa kecil bernama Ghazlah Thabran kota Thus di wilayah Khurasan Iran.</w:t>
      </w:r>
      <w:r w:rsidRPr="003C6B8D">
        <w:rPr>
          <w:rStyle w:val="FootnoteReference"/>
          <w:rFonts w:ascii="Times New Roman" w:hAnsi="Times New Roman" w:cs="Times New Roman"/>
          <w:sz w:val="24"/>
          <w:szCs w:val="24"/>
        </w:rPr>
        <w:footnoteReference w:id="14"/>
      </w:r>
      <w:r w:rsidRPr="003C6B8D">
        <w:rPr>
          <w:rFonts w:ascii="Times New Roman" w:hAnsi="Times New Roman" w:cs="Times New Roman"/>
          <w:sz w:val="24"/>
          <w:szCs w:val="24"/>
        </w:rPr>
        <w:t xml:space="preserve"> Selagi kanak-kanak al-Ghazali ditinggal mati oleh ayahnya kemudian bersama adiknya Ahmad ia diasuh oleh teman ayahnya seorang ahli tasawuf kemudian diserahkan ke panti asuhan yang didirikan oleh Perdana Menteri Nizamul Mulk di kota Thus. Di sinilah al-Ghazali belajar ilmu fiqh kepada Imam Razaqani kemudian pindah ke Naisabur dan belajar ilmu fiqh dan ilmu kalam kepada Imam al-Juwaini yang dikenal dengan Imam al-Haramain seorang teolog Asy’ariyyah.</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lastRenderedPageBreak/>
        <w:t>Sebagai orang yang menguasai ilmu kalam dan filsafat, maka corak pemikiran hukum al-Ghazali sangat berakar pada akidah karenanya metode berpikirnya di bidang hukum Islam mengkristal dalam kitab ushul fiqhnya yakni al-Mustasfa. Menurut al-Ghazali, hukum agama itu harus diambil dari ajaran wahyu bukan produk akal manusia dan ini adalah bentuk antisipasi teologis dari pandangan kaum Mu’tazilah bahwa akal termasuk sumber syari’at Islam. Bagi al-Ghazali, wahyu hanya mempunyai fungsi informatif belaka terhadap akal dan ia bersikeras dengan pandangan ini karena al-Ghazali melihat keragaman pemikiran yang melanda umat Islam disebabkan oleh metode berpikir bebas Yunani yang telah merasuk ke dalam pola berpikir intelektual muslim di bidang ilmu kalam dan filsafat yang berimbas pada pemikiran fiqh dan ini berbahaya bagi substansi ajaran Islam.</w:t>
      </w:r>
      <w:r w:rsidRPr="003C6B8D">
        <w:rPr>
          <w:rStyle w:val="FootnoteReference"/>
          <w:rFonts w:ascii="Times New Roman" w:hAnsi="Times New Roman" w:cs="Times New Roman"/>
          <w:sz w:val="24"/>
          <w:szCs w:val="24"/>
        </w:rPr>
        <w:footnoteReference w:id="15"/>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Meskipun al-Ghazali amat terikat dengan wahyu tetapi ia tidak mengabaikan peranan akal sama sekali karena ia menyadari bahwa persoalan hukum itu akan bertambah terus sementara jumlah teks wahyu tidak mungkin bertambah. Karena itu, ia berpendapat bahwa apabila sebuah kasus hukum ternyata tidak ditunjuki oleh nash, maka qiyas dapat digunakan dan inti qiyas adalah mensejajarkan sesuatu yang tidak disebutkan hukumnya dengan sesuatu yang disebutkan hukumnya oleh nash dan titik kesamaan tersebut disebut illat. Sementara itu, al-Ghazali tidak menggunakan hikmah sebagai illat (ta’lill ahkam bil hikmah), ia hanya mau menetapkan hukum berdasarkan illat (ta’lilul ahkam bil illah). Ini berbeda dengan aliran Kufah yang selalu mencari rahasia di balik ketatapan hukum, mereka menetapkan hukum  terkadang dengan hikmah sebab terkadang suatu ketetapan hukum dibuat berdasarkan hikmah.</w:t>
      </w:r>
      <w:r w:rsidRPr="003C6B8D">
        <w:rPr>
          <w:rStyle w:val="FootnoteReference"/>
          <w:rFonts w:ascii="Times New Roman" w:hAnsi="Times New Roman" w:cs="Times New Roman"/>
          <w:sz w:val="24"/>
          <w:szCs w:val="24"/>
        </w:rPr>
        <w:footnoteReference w:id="16"/>
      </w:r>
    </w:p>
    <w:p w:rsidR="006A503D" w:rsidRPr="003C6B8D" w:rsidRDefault="006A503D" w:rsidP="000D02F5">
      <w:pPr>
        <w:pStyle w:val="ListParagraph"/>
        <w:spacing w:line="360" w:lineRule="auto"/>
        <w:ind w:left="0" w:firstLine="720"/>
        <w:jc w:val="both"/>
        <w:rPr>
          <w:rFonts w:ascii="Times New Roman" w:hAnsi="Times New Roman" w:cs="Times New Roman"/>
          <w:i/>
          <w:iCs/>
          <w:sz w:val="24"/>
          <w:szCs w:val="24"/>
        </w:rPr>
      </w:pPr>
      <w:r w:rsidRPr="003C6B8D">
        <w:rPr>
          <w:rFonts w:ascii="Times New Roman" w:hAnsi="Times New Roman" w:cs="Times New Roman"/>
          <w:sz w:val="24"/>
          <w:szCs w:val="24"/>
        </w:rPr>
        <w:lastRenderedPageBreak/>
        <w:t xml:space="preserve">Corak pemikiran dan metode hukum al-Ghazali di atas nampaknya menjadi dasar dan landasan pemikiranya terhadap konsep maslahahnya seperti yang dijelaskan dalam al-Mustasfa, sebagai bentuk pemikiran filsafat hukum yang lebih komplit dibanding pemikiran hukum sebelumnya seperti yang diperkenalkan oleh Hasan al-Basri di mana konsep maslahah masih dipahami sebagai bagian dari illat yang juga tidak dijelaskan hubungannya dengan Masalih al-Syar’iyyah itu sendiri. </w:t>
      </w:r>
    </w:p>
    <w:p w:rsidR="006A503D" w:rsidRPr="003C6B8D" w:rsidRDefault="006A503D" w:rsidP="000D02F5">
      <w:pPr>
        <w:pStyle w:val="ListParagraph"/>
        <w:numPr>
          <w:ilvl w:val="0"/>
          <w:numId w:val="1"/>
        </w:numPr>
        <w:spacing w:line="360" w:lineRule="auto"/>
        <w:rPr>
          <w:rFonts w:ascii="Times New Roman" w:hAnsi="Times New Roman" w:cs="Times New Roman"/>
          <w:b/>
          <w:bCs/>
          <w:sz w:val="24"/>
          <w:szCs w:val="24"/>
        </w:rPr>
      </w:pPr>
      <w:r w:rsidRPr="003C6B8D">
        <w:rPr>
          <w:rFonts w:ascii="Times New Roman" w:hAnsi="Times New Roman" w:cs="Times New Roman"/>
          <w:b/>
          <w:bCs/>
          <w:sz w:val="24"/>
          <w:szCs w:val="24"/>
        </w:rPr>
        <w:t xml:space="preserve">Konsep Maslahah Al-Ghazali </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t>Al-Ghazali mendefinisikan maslahah sebagai berikut bahwa dalam pengertiannya yang esensial (aslan) maslahah merupakan suatu ekspresi untuk mencari sesuatu yang berguna (manfaat) atau menyingkirkan sesuatu yang keji (mudarat). Namun ini bukan yang kami maksudkan sebab mencari manfaat dan menyingkirkan mudarat merupakan tujuan (maqashid) yang dimaksud oleh penciptaan (khalq) dan kebaikan (as-shulhu) dari ciptaan dalam merealisasikan tujuan-tujuan mereka (maqashid). Yang dimaksud dengan maslahah adalah pemeliharaan dari maksud obyektif hukum yang terdiri dari lima hal yaitu pemeliharaan agama, hidup, akal, keturunan, dan kekayaan.</w:t>
      </w:r>
      <w:r w:rsidR="005F54CD">
        <w:rPr>
          <w:rStyle w:val="FootnoteReference"/>
          <w:rFonts w:ascii="Times New Roman" w:hAnsi="Times New Roman" w:cs="Times New Roman"/>
          <w:sz w:val="24"/>
          <w:szCs w:val="24"/>
        </w:rPr>
        <w:footnoteReference w:id="17"/>
      </w:r>
      <w:r w:rsidRPr="003C6B8D">
        <w:rPr>
          <w:rFonts w:ascii="Times New Roman" w:hAnsi="Times New Roman" w:cs="Times New Roman"/>
          <w:sz w:val="24"/>
          <w:szCs w:val="24"/>
        </w:rPr>
        <w:t xml:space="preserve"> Apa yang menjamin kelima prinsip (ushul) itu merupakan maslahah dan  kelalaian apapaun dalam pemeliharaan kelima hal tersebut merupakan mafsadat dan kebalikannya adalah maslahah.</w:t>
      </w:r>
      <w:r w:rsidRPr="003C6B8D">
        <w:rPr>
          <w:rStyle w:val="FootnoteReference"/>
          <w:rFonts w:ascii="Times New Roman" w:hAnsi="Times New Roman" w:cs="Times New Roman"/>
          <w:sz w:val="24"/>
          <w:szCs w:val="24"/>
        </w:rPr>
        <w:footnoteReference w:id="18"/>
      </w:r>
      <w:r w:rsidRPr="003C6B8D">
        <w:rPr>
          <w:rFonts w:ascii="Times New Roman" w:hAnsi="Times New Roman" w:cs="Times New Roman"/>
          <w:sz w:val="24"/>
          <w:szCs w:val="24"/>
        </w:rPr>
        <w:t xml:space="preserve"> </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 xml:space="preserve">Lebih lanjut Hanya maslahah mursalah saja yang menurut al-Ghazali yang tidak didukung oleh bukti tekstual dan bukti tekstual atau nash saja yang akan diterima yang memiliki tiga kualitas yaitu daruruat, qathiyyah dan kulliyah. Al-Ghazali menerangkan poin ini dengan memberikan contoh bahwa jika sebagian orang </w:t>
      </w:r>
      <w:r w:rsidRPr="003C6B8D">
        <w:rPr>
          <w:rFonts w:ascii="Times New Roman" w:hAnsi="Times New Roman" w:cs="Times New Roman"/>
          <w:sz w:val="24"/>
          <w:szCs w:val="24"/>
        </w:rPr>
        <w:lastRenderedPageBreak/>
        <w:t>kafir melindungi dirinya dengan kelompok tawanan muslim padahal menyerang pertahanan orang kafir berarti membunuh kaum muslimin yang tidak bersalah. Jika serangan dari pihak muslimin tidak dilakukan, maka orang kafir akan menaklukkan wilayah Islam. Dalam kondisi demikian, maka diperbolehkan mengajukan argumentasi bahwa walaupun kaum muslimin tidak menyerang, maka kehidupan tawanan muslimin itupun tidak aman karenanya lebih penting mengamankan seluruh masyarakat muslim daripada mengamankan sebagian saja. Pemikiran seperti ini dapat diterima karena mengacu pada tiga kualifikasi di atas, ini adalah kondisi darurat karena mengandung langkah untuk melindungi salah satu dari prinsip tersebut yakni memelihara kehidupan dan hal itu dapat menjamin kehidupan kaum muslimin. Permaslaahan ini bersifat universal sebab mempertimbangkan seluruh masyarakat bukan sebagian masyarakat.</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Dua graduasi masalih yang lain tidak diperbolehkan jika tidak didukung oleh bukti tekstual yang spesifik, jika didukung oleh teks, maka pemikiran tersebut disebut qiyas dan yang tidak didukung disebut istislah yang sesuai dengan istihsan dan karenanya tidak valid.</w:t>
      </w:r>
      <w:r w:rsidRPr="003C6B8D">
        <w:rPr>
          <w:rStyle w:val="FootnoteReference"/>
          <w:rFonts w:ascii="Times New Roman" w:hAnsi="Times New Roman" w:cs="Times New Roman"/>
          <w:sz w:val="24"/>
          <w:szCs w:val="24"/>
        </w:rPr>
        <w:footnoteReference w:id="19"/>
      </w:r>
      <w:r w:rsidRPr="003C6B8D">
        <w:rPr>
          <w:rFonts w:ascii="Times New Roman" w:hAnsi="Times New Roman" w:cs="Times New Roman"/>
          <w:sz w:val="24"/>
          <w:szCs w:val="24"/>
        </w:rPr>
        <w:t xml:space="preserve"> Al-Ghazali mengklasifikasi istislah sejajar dengan istihsan sebagai metode penalaran yang tidak mempunyai validitas yang tidak sama dengan validitas yang dimiliki oleh qiyas. Ia menyebut metode istislah dan istihsan sebagai ushul mauhumah, yaitu prinsip-prinsip di mana mujtahid lebih menyandarkan diri pada imajenasi atau kebijaksanaannya ketimbang pada hadis.</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rPr>
      </w:pPr>
      <w:r w:rsidRPr="003C6B8D">
        <w:rPr>
          <w:rFonts w:ascii="Times New Roman" w:hAnsi="Times New Roman" w:cs="Times New Roman"/>
          <w:sz w:val="24"/>
          <w:szCs w:val="24"/>
        </w:rPr>
        <w:lastRenderedPageBreak/>
        <w:t xml:space="preserve">Bagi al-Ghazali, maslahah bukanlah merupakan salah satu dari empat landasan (al-Qur’an, Sunnah, ijma dan akal sebagai metode pemikiran dan analogi). Uraian tentang maslahah hanya merupakan tambahan bagi keempat landasan tersebut di mana al-Ghazali mengajukan argumentasi bahwa maslahah bukan salah satu dari empat landasan yang dapat dipercaya dan maslahah tidak dibahas (al-Mustasfa) dalam bagian yang membahas metode interpretasi dan analogi meskipun hubungannya dinyatakan secara tidak langsung. Sekalipun maslahah tidak menjadi landasan bagi al-Ghazali, namun referensi mengenai maslahah tetap dikemukakan oleh al-Ghazali pada bagian hukum dalam al-Mustasfa. Al-Ghazali juga memberikan acuan terhadap maslahah dalam bagian yang membicarakan tentang metode-metode pemikiran. </w:t>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Bagi al-Ghazali, metode istinbat yang valid hanya dua yaitu</w:t>
      </w:r>
      <w:r w:rsidRPr="003C6B8D">
        <w:rPr>
          <w:rFonts w:ascii="Times New Roman" w:hAnsi="Times New Roman" w:cs="Times New Roman"/>
          <w:i/>
          <w:iCs/>
          <w:sz w:val="24"/>
          <w:szCs w:val="24"/>
        </w:rPr>
        <w:t xml:space="preserve"> al-sabr wa al-taqsim</w:t>
      </w:r>
      <w:r w:rsidRPr="003C6B8D">
        <w:rPr>
          <w:rFonts w:ascii="Times New Roman" w:hAnsi="Times New Roman" w:cs="Times New Roman"/>
          <w:sz w:val="24"/>
          <w:szCs w:val="24"/>
        </w:rPr>
        <w:t xml:space="preserve"> (observasi dan klasifikasi; metode penyingkiran) dan </w:t>
      </w:r>
      <w:r w:rsidRPr="003C6B8D">
        <w:rPr>
          <w:rFonts w:ascii="Times New Roman" w:hAnsi="Times New Roman" w:cs="Times New Roman"/>
          <w:i/>
          <w:iCs/>
          <w:sz w:val="24"/>
          <w:szCs w:val="24"/>
        </w:rPr>
        <w:t>munasabah</w:t>
      </w:r>
      <w:r w:rsidRPr="003C6B8D">
        <w:rPr>
          <w:rFonts w:ascii="Times New Roman" w:hAnsi="Times New Roman" w:cs="Times New Roman"/>
          <w:sz w:val="24"/>
          <w:szCs w:val="24"/>
        </w:rPr>
        <w:t xml:space="preserve"> (penggabungan). Dalam kaitan dengan munasabah inilah maslahah menjadi elemen gabungan utama dengan syara’ sering kali dibahas oleh al-Ghazali dan munasib didefinisikan sebagai sesuatu yang serupa dengan masalih, tetapi munasabah dan maslahah tidak identik. Meskipun al-Ghazali menganalisa munasib juga dalam persyaratan efektifitas dan validitas dalam cara yang sama sebagaimana yang dilakukan terhadap maslahah tetapi keterangan-keterangan rincinya berbeda.</w:t>
      </w:r>
      <w:r w:rsidR="003C6B8D" w:rsidRPr="003C6B8D">
        <w:rPr>
          <w:rStyle w:val="FootnoteReference"/>
          <w:rFonts w:ascii="Times New Roman" w:hAnsi="Times New Roman" w:cs="Times New Roman"/>
          <w:sz w:val="24"/>
          <w:szCs w:val="24"/>
        </w:rPr>
        <w:footnoteReference w:id="20"/>
      </w:r>
    </w:p>
    <w:p w:rsidR="006A503D" w:rsidRPr="003C6B8D" w:rsidRDefault="006A503D" w:rsidP="000D02F5">
      <w:pPr>
        <w:pStyle w:val="ListParagraph"/>
        <w:spacing w:line="360" w:lineRule="auto"/>
        <w:ind w:left="0" w:firstLine="720"/>
        <w:jc w:val="both"/>
        <w:rPr>
          <w:rFonts w:ascii="Times New Roman" w:hAnsi="Times New Roman" w:cs="Times New Roman"/>
          <w:sz w:val="24"/>
          <w:szCs w:val="24"/>
          <w:lang w:val="id-ID"/>
        </w:rPr>
      </w:pPr>
      <w:r w:rsidRPr="003C6B8D">
        <w:rPr>
          <w:rFonts w:ascii="Times New Roman" w:hAnsi="Times New Roman" w:cs="Times New Roman"/>
          <w:sz w:val="24"/>
          <w:szCs w:val="24"/>
        </w:rPr>
        <w:t>Dalam pandangan al-Ghazali, munasib dibagi kedalam empat kategori yaitu; Pertama, munasib yang sesuai dan didukung oleh landasan tekstual khusus. Kedua, munasib yang tidak sesuai dan tidak didukung oleh landasan tekstual. Ketiga, munasib yang tidak sesuai tetapi didukung oleh landasan tekstual dan keempat adalah munasib itu didukung landasan tektual. Al-Ghazali menambahkan bahwa dalam klasifikasi pertama dapat diterima oleh semua pakar hukum. Kategori kedua disebut istihsan yakni membuat hukum sesuai dengan wewenang pribadi. Kategori ketiga disebut dengan istislah atau istidlal al-mursalah. Dari klasifikasi yang diberikan al-</w:t>
      </w:r>
      <w:r w:rsidRPr="003C6B8D">
        <w:rPr>
          <w:rFonts w:ascii="Times New Roman" w:hAnsi="Times New Roman" w:cs="Times New Roman"/>
          <w:sz w:val="24"/>
          <w:szCs w:val="24"/>
        </w:rPr>
        <w:lastRenderedPageBreak/>
        <w:t>Ghazali jelas bahwa maslahah merupakan pertimbangan dasar untuk memutuskan keserasian atau munasabah dari sesuatu yang justru tidak dimiliki oleh istihsan tetapi sekali lagi munasabah dan maslahah tergantung pada keserasian dan konfirmasinya dengan teks pada umumnya. Jika sebaliknya, maka hal tersebut akan masuk dalam kategori istihsan.</w:t>
      </w:r>
    </w:p>
    <w:p w:rsidR="006A503D" w:rsidRPr="003C6B8D" w:rsidRDefault="006A503D" w:rsidP="000D02F5">
      <w:pPr>
        <w:pStyle w:val="ListParagraph"/>
        <w:spacing w:line="360" w:lineRule="auto"/>
        <w:ind w:left="0" w:firstLine="720"/>
        <w:jc w:val="both"/>
        <w:rPr>
          <w:rFonts w:ascii="Times New Roman" w:hAnsi="Times New Roman" w:cs="Times New Roman"/>
          <w:b/>
          <w:bCs/>
          <w:color w:val="FF0000"/>
          <w:sz w:val="24"/>
          <w:szCs w:val="24"/>
          <w:lang w:val="id-ID"/>
        </w:rPr>
      </w:pPr>
      <w:r w:rsidRPr="003C6B8D">
        <w:rPr>
          <w:rFonts w:ascii="Times New Roman" w:hAnsi="Times New Roman" w:cs="Times New Roman"/>
          <w:sz w:val="24"/>
          <w:szCs w:val="24"/>
        </w:rPr>
        <w:t>Dari uraian al-Ghazali tentang maslahah dapat dipahami bahwa kegemarannya terhadap teologisasi fiqh dan qiyas sebagai metode pemikiran menggiring al-Ghazali untuk meneliti konsep maslahah dengan beberapa persyaratan. Berdasarkan pandangan teologinya, maka al-Ghazali menolak maslahah dalam kaitan kemanfaatan kemanusian, penelitian dan pengkajian maslahah harus difokuskan pada nas-nas yang ada. Al-Ghazali justru membuat metode pemikiran dengan menggunakan maslahah satu tingkat di bawah qiyas dan al-Ghazali tidak menolak maslahah sama sekali sebagaimana penolakannya terhadap istihsan tetapi kualifikasi yang ia sediakan untuk menerima maslahah tidak menempatkan maslahah sebagai prinsip pemikiran yang independen.</w:t>
      </w:r>
    </w:p>
    <w:p w:rsidR="006A503D" w:rsidRPr="003C6B8D" w:rsidRDefault="006A503D" w:rsidP="000D02F5">
      <w:pPr>
        <w:pStyle w:val="ListParagraph"/>
        <w:spacing w:line="360" w:lineRule="auto"/>
        <w:ind w:left="0" w:firstLine="720"/>
        <w:jc w:val="both"/>
        <w:rPr>
          <w:rFonts w:ascii="Times New Roman" w:hAnsi="Times New Roman" w:cs="Times New Roman"/>
          <w:i/>
          <w:iCs/>
          <w:sz w:val="24"/>
          <w:szCs w:val="24"/>
          <w:lang w:val="id-ID"/>
        </w:rPr>
      </w:pPr>
      <w:r w:rsidRPr="003C6B8D">
        <w:rPr>
          <w:rFonts w:ascii="Times New Roman" w:hAnsi="Times New Roman" w:cs="Times New Roman"/>
          <w:sz w:val="24"/>
          <w:szCs w:val="24"/>
        </w:rPr>
        <w:t xml:space="preserve">Klasifikasi dan definisi yang dikemukakan oleh al-Ghazali kemudian diikuti oleh sejumlah pakar hukum yang sesuai matarantai karya-karya ushul fiqh yang telah dikenal kemudian. Pengaruh pemikiran al-Ghazali tentang maslahah sangat kuat sebagaimana yang dikemukakan oleh Ibn Khaldun bahwa </w:t>
      </w:r>
      <w:r w:rsidRPr="003C6B8D">
        <w:rPr>
          <w:rFonts w:ascii="Times New Roman" w:hAnsi="Times New Roman" w:cs="Times New Roman"/>
          <w:i/>
          <w:iCs/>
          <w:sz w:val="24"/>
          <w:szCs w:val="24"/>
        </w:rPr>
        <w:t>Kitab al-Mustasfa</w:t>
      </w:r>
      <w:r w:rsidRPr="003C6B8D">
        <w:rPr>
          <w:rFonts w:ascii="Times New Roman" w:hAnsi="Times New Roman" w:cs="Times New Roman"/>
          <w:sz w:val="24"/>
          <w:szCs w:val="24"/>
        </w:rPr>
        <w:t xml:space="preserve"> masih merupakan sumber utama yang berpengaruh bagi penulis ushul fiqh berikutnya hingga munculnya karya monumental al-Razi yakni </w:t>
      </w:r>
      <w:r w:rsidRPr="003C6B8D">
        <w:rPr>
          <w:rFonts w:ascii="Times New Roman" w:hAnsi="Times New Roman" w:cs="Times New Roman"/>
          <w:i/>
          <w:iCs/>
          <w:sz w:val="24"/>
          <w:szCs w:val="24"/>
        </w:rPr>
        <w:t>al-Mahsul</w:t>
      </w:r>
      <w:r w:rsidRPr="003C6B8D">
        <w:rPr>
          <w:rFonts w:ascii="Times New Roman" w:hAnsi="Times New Roman" w:cs="Times New Roman"/>
          <w:sz w:val="24"/>
          <w:szCs w:val="24"/>
        </w:rPr>
        <w:t>.</w:t>
      </w:r>
      <w:r w:rsidRPr="003C6B8D">
        <w:rPr>
          <w:rStyle w:val="FootnoteReference"/>
          <w:rFonts w:ascii="Times New Roman" w:hAnsi="Times New Roman" w:cs="Times New Roman"/>
          <w:sz w:val="24"/>
          <w:szCs w:val="24"/>
        </w:rPr>
        <w:footnoteReference w:id="21"/>
      </w:r>
      <w:r w:rsidRPr="003C6B8D">
        <w:rPr>
          <w:rFonts w:ascii="Times New Roman" w:hAnsi="Times New Roman" w:cs="Times New Roman"/>
          <w:i/>
          <w:iCs/>
          <w:sz w:val="24"/>
          <w:szCs w:val="24"/>
        </w:rPr>
        <w:t xml:space="preserve"> </w:t>
      </w:r>
    </w:p>
    <w:p w:rsidR="006772E0" w:rsidRPr="003C6B8D" w:rsidRDefault="006772E0" w:rsidP="000D02F5">
      <w:pPr>
        <w:pStyle w:val="BatangTubuh"/>
        <w:numPr>
          <w:ilvl w:val="0"/>
          <w:numId w:val="1"/>
        </w:numPr>
        <w:spacing w:line="360" w:lineRule="auto"/>
        <w:jc w:val="both"/>
        <w:rPr>
          <w:b/>
          <w:bCs/>
          <w:iCs/>
          <w:sz w:val="24"/>
          <w:szCs w:val="24"/>
        </w:rPr>
      </w:pPr>
      <w:r w:rsidRPr="003C6B8D">
        <w:rPr>
          <w:b/>
          <w:iCs/>
          <w:sz w:val="24"/>
          <w:szCs w:val="24"/>
        </w:rPr>
        <w:t xml:space="preserve">Biografi </w:t>
      </w:r>
      <w:r w:rsidR="007C1986" w:rsidRPr="003C6B8D">
        <w:rPr>
          <w:b/>
          <w:iCs/>
          <w:sz w:val="24"/>
          <w:szCs w:val="24"/>
          <w:lang w:val="id-ID"/>
        </w:rPr>
        <w:t xml:space="preserve"> </w:t>
      </w:r>
      <w:r w:rsidRPr="003C6B8D">
        <w:rPr>
          <w:b/>
          <w:iCs/>
          <w:sz w:val="24"/>
          <w:szCs w:val="24"/>
        </w:rPr>
        <w:t>Najamuddin al-Ṭ</w:t>
      </w:r>
      <w:r w:rsidRPr="003C6B8D">
        <w:rPr>
          <w:rFonts w:cs="Times New Roman"/>
          <w:b/>
          <w:iCs/>
          <w:sz w:val="24"/>
          <w:szCs w:val="24"/>
        </w:rPr>
        <w:t>ū</w:t>
      </w:r>
      <w:r w:rsidRPr="003C6B8D">
        <w:rPr>
          <w:b/>
          <w:iCs/>
          <w:sz w:val="24"/>
          <w:szCs w:val="24"/>
        </w:rPr>
        <w:t>f</w:t>
      </w:r>
      <w:r w:rsidRPr="003C6B8D">
        <w:rPr>
          <w:rFonts w:cs="Times New Roman"/>
          <w:b/>
          <w:iCs/>
          <w:sz w:val="24"/>
          <w:szCs w:val="24"/>
        </w:rPr>
        <w:t>ī</w:t>
      </w:r>
      <w:r w:rsidRPr="003C6B8D">
        <w:rPr>
          <w:b/>
          <w:iCs/>
          <w:sz w:val="24"/>
          <w:szCs w:val="24"/>
        </w:rPr>
        <w:t>y</w:t>
      </w:r>
    </w:p>
    <w:p w:rsidR="006772E0" w:rsidRPr="003C6B8D" w:rsidRDefault="006772E0" w:rsidP="000D02F5">
      <w:pPr>
        <w:pStyle w:val="BatangTubuh"/>
        <w:spacing w:line="360" w:lineRule="auto"/>
        <w:rPr>
          <w:bCs/>
          <w:sz w:val="24"/>
          <w:szCs w:val="24"/>
        </w:rPr>
      </w:pPr>
      <w:r w:rsidRPr="003C6B8D">
        <w:rPr>
          <w:sz w:val="24"/>
          <w:szCs w:val="24"/>
        </w:rPr>
        <w:t>Nama lengkapnya adalah Ab</w:t>
      </w:r>
      <w:r w:rsidRPr="003C6B8D">
        <w:rPr>
          <w:rFonts w:cs="Times New Roman"/>
          <w:sz w:val="24"/>
          <w:szCs w:val="24"/>
        </w:rPr>
        <w:t>ū</w:t>
      </w:r>
      <w:r w:rsidRPr="003C6B8D">
        <w:rPr>
          <w:sz w:val="24"/>
          <w:szCs w:val="24"/>
        </w:rPr>
        <w:t xml:space="preserve"> al-Rabi’ Sulayman bin ‘Abd al-Q</w:t>
      </w:r>
      <w:r w:rsidRPr="003C6B8D">
        <w:rPr>
          <w:rFonts w:cs="Times New Roman"/>
          <w:sz w:val="24"/>
          <w:szCs w:val="24"/>
        </w:rPr>
        <w:t>ā</w:t>
      </w:r>
      <w:r w:rsidRPr="003C6B8D">
        <w:rPr>
          <w:sz w:val="24"/>
          <w:szCs w:val="24"/>
        </w:rPr>
        <w:t>wi bin ‘Abd al-Kar</w:t>
      </w:r>
      <w:r w:rsidRPr="003C6B8D">
        <w:rPr>
          <w:rFonts w:cs="Times New Roman"/>
          <w:sz w:val="24"/>
          <w:szCs w:val="24"/>
        </w:rPr>
        <w:t>ī</w:t>
      </w:r>
      <w:r w:rsidRPr="003C6B8D">
        <w:rPr>
          <w:sz w:val="24"/>
          <w:szCs w:val="24"/>
        </w:rPr>
        <w:t>m Ab</w:t>
      </w:r>
      <w:r w:rsidRPr="003C6B8D">
        <w:rPr>
          <w:rFonts w:cs="Times New Roman"/>
          <w:sz w:val="24"/>
          <w:szCs w:val="24"/>
        </w:rPr>
        <w:t>ī</w:t>
      </w:r>
      <w:r w:rsidRPr="003C6B8D">
        <w:rPr>
          <w:sz w:val="24"/>
          <w:szCs w:val="24"/>
        </w:rPr>
        <w:t>y Sa’</w:t>
      </w:r>
      <w:r w:rsidRPr="003C6B8D">
        <w:rPr>
          <w:rFonts w:cs="Times New Roman"/>
          <w:sz w:val="24"/>
          <w:szCs w:val="24"/>
        </w:rPr>
        <w:t>ī</w:t>
      </w:r>
      <w:r w:rsidRPr="003C6B8D">
        <w:rPr>
          <w:sz w:val="24"/>
          <w:szCs w:val="24"/>
        </w:rPr>
        <w:t>d  yang kemudian dinisbatkan kepada al-Ṭ</w:t>
      </w:r>
      <w:r w:rsidRPr="003C6B8D">
        <w:rPr>
          <w:rFonts w:cs="Times New Roman"/>
          <w:sz w:val="24"/>
          <w:szCs w:val="24"/>
        </w:rPr>
        <w:t>ū</w:t>
      </w:r>
      <w:r w:rsidRPr="003C6B8D">
        <w:rPr>
          <w:sz w:val="24"/>
          <w:szCs w:val="24"/>
        </w:rPr>
        <w:t>fa yaitu sebuah desa di dataran Baghdad. Laqab yang dijulukkan kepada yakni “</w:t>
      </w:r>
      <w:r w:rsidRPr="003C6B8D">
        <w:rPr>
          <w:i/>
          <w:iCs/>
          <w:sz w:val="24"/>
          <w:szCs w:val="24"/>
        </w:rPr>
        <w:t>Najm al-D</w:t>
      </w:r>
      <w:r w:rsidRPr="003C6B8D">
        <w:rPr>
          <w:rFonts w:cs="Times New Roman"/>
          <w:i/>
          <w:iCs/>
          <w:sz w:val="24"/>
          <w:szCs w:val="24"/>
        </w:rPr>
        <w:t>ī</w:t>
      </w:r>
      <w:r w:rsidRPr="003C6B8D">
        <w:rPr>
          <w:i/>
          <w:iCs/>
          <w:sz w:val="24"/>
          <w:szCs w:val="24"/>
        </w:rPr>
        <w:t xml:space="preserve">n” </w:t>
      </w:r>
      <w:r w:rsidRPr="003C6B8D">
        <w:rPr>
          <w:sz w:val="24"/>
          <w:szCs w:val="24"/>
        </w:rPr>
        <w:t xml:space="preserve">berarti bintangnya agama ditujukan kepada nya bagi kalangan yang memujanya sebagai </w:t>
      </w:r>
      <w:r w:rsidRPr="003C6B8D">
        <w:rPr>
          <w:sz w:val="24"/>
          <w:szCs w:val="24"/>
        </w:rPr>
        <w:lastRenderedPageBreak/>
        <w:t>penulis terkenal pada masanya. Ia dilahirkan di Ṭ</w:t>
      </w:r>
      <w:r w:rsidRPr="003C6B8D">
        <w:rPr>
          <w:rFonts w:cs="Times New Roman"/>
          <w:sz w:val="24"/>
          <w:szCs w:val="24"/>
        </w:rPr>
        <w:t>ū</w:t>
      </w:r>
      <w:r w:rsidRPr="003C6B8D">
        <w:rPr>
          <w:sz w:val="24"/>
          <w:szCs w:val="24"/>
        </w:rPr>
        <w:t>fa sekitar tahun 675 H (1276 M), sebagian informasi mengindikasikan bahwa al-Ṭ</w:t>
      </w:r>
      <w:r w:rsidRPr="003C6B8D">
        <w:rPr>
          <w:rFonts w:cs="Times New Roman"/>
          <w:sz w:val="24"/>
          <w:szCs w:val="24"/>
        </w:rPr>
        <w:t>ū</w:t>
      </w:r>
      <w:r w:rsidRPr="003C6B8D">
        <w:rPr>
          <w:sz w:val="24"/>
          <w:szCs w:val="24"/>
        </w:rPr>
        <w:t>f</w:t>
      </w:r>
      <w:r w:rsidRPr="003C6B8D">
        <w:rPr>
          <w:rFonts w:cs="Times New Roman"/>
          <w:sz w:val="24"/>
          <w:szCs w:val="24"/>
        </w:rPr>
        <w:t>īy dilahirkan pada tahun 657 H.</w:t>
      </w:r>
      <w:r w:rsidRPr="003C6B8D">
        <w:rPr>
          <w:sz w:val="24"/>
          <w:szCs w:val="24"/>
        </w:rPr>
        <w:t xml:space="preserve">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adalah seorang yang sangat senang dengan ilmu pengetahuan dan hal inilah yang melatarbelakangi kesenangannya melancong ke beberapa wilayah. Menurut catatan sejarah,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wafat di Palestina pada tahun 716 H (1316 M).</w:t>
      </w:r>
      <w:r w:rsidRPr="003C6B8D">
        <w:rPr>
          <w:rStyle w:val="FootnoteReference"/>
          <w:sz w:val="24"/>
          <w:szCs w:val="24"/>
        </w:rPr>
        <w:footnoteReference w:id="22"/>
      </w:r>
      <w:r w:rsidRPr="003C6B8D">
        <w:rPr>
          <w:sz w:val="24"/>
          <w:szCs w:val="24"/>
        </w:rPr>
        <w:t xml:space="preserve"> </w:t>
      </w:r>
    </w:p>
    <w:p w:rsidR="006772E0" w:rsidRPr="003C6B8D" w:rsidRDefault="006772E0" w:rsidP="000D02F5">
      <w:pPr>
        <w:pStyle w:val="BatangTubuh"/>
        <w:spacing w:line="360" w:lineRule="auto"/>
        <w:rPr>
          <w:sz w:val="24"/>
          <w:szCs w:val="24"/>
        </w:rPr>
      </w:pPr>
      <w:r w:rsidRPr="003C6B8D">
        <w:rPr>
          <w:sz w:val="24"/>
          <w:szCs w:val="24"/>
        </w:rPr>
        <w:t>Sedikitnya 42 judul buku telah ditulis oleh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 xml:space="preserve">y, namun karya-karyanya yang bisa sampai kepada kita sekarang ini sangatlah sedikit. Sebagian besar karya-karya tersebut masih dalam bentuk manuskrip yang sangat menyedihkan keadaannya dan tersimpan secara serampangan di perpustakaan.  Ia terlahir dan terdidik sebagai seorang muslim yang beraliran Hanbali, sebuah mazhab dalam hukum Islam yang sangat intens menggunakan kekuatan </w:t>
      </w:r>
      <w:r w:rsidRPr="003C6B8D">
        <w:rPr>
          <w:i/>
          <w:iCs/>
          <w:sz w:val="24"/>
          <w:szCs w:val="24"/>
        </w:rPr>
        <w:t xml:space="preserve">riwayat </w:t>
      </w:r>
      <w:r w:rsidRPr="003C6B8D">
        <w:rPr>
          <w:sz w:val="24"/>
          <w:szCs w:val="24"/>
        </w:rPr>
        <w:t>dalam pengistimbatan hukum. Mazhab ini dalam dunia Islam dikenal sebagai mazhab yang tradisional dan enggan menggunakan akal (</w:t>
      </w:r>
      <w:r w:rsidRPr="003C6B8D">
        <w:rPr>
          <w:i/>
          <w:iCs/>
          <w:sz w:val="24"/>
          <w:szCs w:val="24"/>
        </w:rPr>
        <w:t>al-Ra’yu</w:t>
      </w:r>
      <w:r w:rsidRPr="003C6B8D">
        <w:rPr>
          <w:sz w:val="24"/>
          <w:szCs w:val="24"/>
        </w:rPr>
        <w:t>) dalam mengistimbatkan hukum.</w:t>
      </w:r>
      <w:r w:rsidRPr="003C6B8D">
        <w:rPr>
          <w:rStyle w:val="FootnoteReference"/>
          <w:sz w:val="24"/>
          <w:szCs w:val="24"/>
        </w:rPr>
        <w:footnoteReference w:id="23"/>
      </w:r>
      <w:r w:rsidRPr="003C6B8D">
        <w:rPr>
          <w:sz w:val="24"/>
          <w:szCs w:val="24"/>
        </w:rPr>
        <w:t xml:space="preserve"> </w:t>
      </w:r>
    </w:p>
    <w:p w:rsidR="006772E0" w:rsidRPr="003C6B8D" w:rsidRDefault="006772E0" w:rsidP="000D02F5">
      <w:pPr>
        <w:pStyle w:val="BatangTubuh"/>
        <w:spacing w:line="360" w:lineRule="auto"/>
        <w:rPr>
          <w:sz w:val="24"/>
          <w:szCs w:val="24"/>
          <w:lang w:val="id-ID"/>
        </w:rPr>
      </w:pPr>
      <w:r w:rsidRPr="003C6B8D">
        <w:rPr>
          <w:sz w:val="24"/>
          <w:szCs w:val="24"/>
        </w:rPr>
        <w:t>Seperti disinggung di depan,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banyak mengunjungi negeri-negeri muslim, salah satu di antaranya adalah Demaskus (Syiria) pada tahun 704 H. Di daerah ini, ia banyak berkomunikasi dengan para pemuka ulama setempat dan banyak menimba ilmu pengetahuan dari ulama-ulama terkenal di daerah ini. Ia juga banyak terlibat dengan pergulatan pemikiran dengan para ulama tafsir, hadis, serta fukaha dari mazhab Hanbali.</w:t>
      </w:r>
      <w:r w:rsidRPr="003C6B8D">
        <w:rPr>
          <w:rStyle w:val="FootnoteReference"/>
          <w:sz w:val="24"/>
          <w:szCs w:val="24"/>
        </w:rPr>
        <w:footnoteReference w:id="24"/>
      </w:r>
      <w:r w:rsidRPr="003C6B8D">
        <w:rPr>
          <w:sz w:val="24"/>
          <w:szCs w:val="24"/>
        </w:rPr>
        <w:t xml:space="preserve"> Di tempat ini pula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kemudian bersentuhan dengan pemikiran Taqiyuddin Ibn Taimiyah yang oleh sebagian kalangan dianggap sebagai guru dari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w:t>
      </w:r>
    </w:p>
    <w:p w:rsidR="006772E0" w:rsidRPr="003C6B8D" w:rsidRDefault="006772E0" w:rsidP="000D02F5">
      <w:pPr>
        <w:pStyle w:val="BatangTubuh"/>
        <w:spacing w:line="360" w:lineRule="auto"/>
        <w:rPr>
          <w:rFonts w:cs="Times New Roman"/>
          <w:sz w:val="24"/>
          <w:szCs w:val="24"/>
        </w:rPr>
      </w:pPr>
      <w:r w:rsidRPr="003C6B8D">
        <w:rPr>
          <w:sz w:val="24"/>
          <w:szCs w:val="24"/>
        </w:rPr>
        <w:t>Setahun setelah  meningggalkan Demaskus,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 xml:space="preserve">y mengembara ke Mesir, setiba di sana ia harus berhadapan dengan kenyataan bahwa dirinya harus menjadi </w:t>
      </w:r>
      <w:r w:rsidRPr="003C6B8D">
        <w:rPr>
          <w:sz w:val="24"/>
          <w:szCs w:val="24"/>
        </w:rPr>
        <w:lastRenderedPageBreak/>
        <w:t>korban dari ketidaksenangan warga setempat akibat pemikiran rasional yang dibawa olehnya. Di samping itu,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juga harus menelan pil pahit sebagai salah seorang murid dari Ibnu Taimiyah. Dalam fikiran masyarakat setempat, faham rasional yang dibawa oleh Ibnu Taimiyah tidak ubahnya dengan faham yang dibawa oleh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dan atas dasar inilah warga Mesir menolak kehadiran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y di Mesir.</w:t>
      </w:r>
      <w:r w:rsidR="007C1986" w:rsidRPr="003C6B8D">
        <w:rPr>
          <w:sz w:val="24"/>
          <w:szCs w:val="24"/>
        </w:rPr>
        <w:t xml:space="preserve"> </w:t>
      </w:r>
      <w:r w:rsidRPr="003C6B8D">
        <w:rPr>
          <w:sz w:val="24"/>
          <w:szCs w:val="24"/>
        </w:rPr>
        <w:t>Tercatat dalam sejarah bahwa dua hari setelah menginjakkan kaki di Mesir, al-Ṭ</w:t>
      </w:r>
      <w:r w:rsidRPr="003C6B8D">
        <w:rPr>
          <w:rFonts w:cs="Times New Roman"/>
          <w:sz w:val="24"/>
          <w:szCs w:val="24"/>
        </w:rPr>
        <w:t>ū</w:t>
      </w:r>
      <w:r w:rsidRPr="003C6B8D">
        <w:rPr>
          <w:sz w:val="24"/>
          <w:szCs w:val="24"/>
        </w:rPr>
        <w:t>f</w:t>
      </w:r>
      <w:r w:rsidRPr="003C6B8D">
        <w:rPr>
          <w:rFonts w:cs="Times New Roman"/>
          <w:sz w:val="24"/>
          <w:szCs w:val="24"/>
        </w:rPr>
        <w:t>ī</w:t>
      </w:r>
      <w:r w:rsidRPr="003C6B8D">
        <w:rPr>
          <w:sz w:val="24"/>
          <w:szCs w:val="24"/>
        </w:rPr>
        <w:t xml:space="preserve">y harus merasakan hukuman </w:t>
      </w:r>
      <w:r w:rsidRPr="003C6B8D">
        <w:rPr>
          <w:rFonts w:cs="Times New Roman"/>
          <w:i/>
          <w:iCs/>
          <w:sz w:val="24"/>
          <w:szCs w:val="24"/>
        </w:rPr>
        <w:t xml:space="preserve">ta’zīr </w:t>
      </w:r>
      <w:r w:rsidRPr="003C6B8D">
        <w:rPr>
          <w:rFonts w:cs="Times New Roman"/>
          <w:sz w:val="24"/>
          <w:szCs w:val="24"/>
        </w:rPr>
        <w:t xml:space="preserve">dari Qāḍi Sa’āduddin al-Ḥariṡi penguasa kehakiman yang berfaham tradisionalis. Ia juga sempat merasakan bilik jeruji akibat dari kahadirannya di Mesir hingga kemudian ia diasingkan ke salah satu daerah yang bernama al-Quṣ. </w:t>
      </w:r>
    </w:p>
    <w:p w:rsidR="006772E0" w:rsidRPr="003C6B8D" w:rsidRDefault="006772E0" w:rsidP="000D02F5">
      <w:pPr>
        <w:pStyle w:val="BatangTubuh"/>
        <w:spacing w:line="360" w:lineRule="auto"/>
        <w:rPr>
          <w:rFonts w:cs="Times New Roman"/>
          <w:sz w:val="24"/>
          <w:szCs w:val="24"/>
        </w:rPr>
      </w:pPr>
      <w:r w:rsidRPr="003C6B8D">
        <w:rPr>
          <w:rFonts w:cs="Times New Roman"/>
          <w:sz w:val="24"/>
          <w:szCs w:val="24"/>
        </w:rPr>
        <w:t xml:space="preserve">Faktor situasional juga berpengaruh besar dalam pengucilan al-Ṭūfīy tatkala ia menginjakkan kaki di Mesir. Dalam pandangan masyarakat Mesir kala itu, guru al-Ṭūfīy yakni Ibnu Taimiyah dipandang sangat berbeda dan tidak dapat diterima oleh mereka. Al-Ṭūfīy pada satu sisi juga memiliki watak yang sangat agresif melawan </w:t>
      </w:r>
      <w:r w:rsidRPr="003C6B8D">
        <w:rPr>
          <w:rFonts w:cs="Times New Roman"/>
          <w:i/>
          <w:iCs/>
          <w:sz w:val="24"/>
          <w:szCs w:val="24"/>
        </w:rPr>
        <w:t xml:space="preserve">mainstream </w:t>
      </w:r>
      <w:r w:rsidRPr="003C6B8D">
        <w:rPr>
          <w:rFonts w:cs="Times New Roman"/>
          <w:sz w:val="24"/>
          <w:szCs w:val="24"/>
        </w:rPr>
        <w:t>faham tradisionalis dan senantiasa menghembuskan faham liberalis. Inilah yang menjadi dasar pengisolasian atas diri al-Ṭūfīy ketika menginjakkan kaki di Mesir. Paling tidak, ide liberalisasi faham yang dibawa olehnya saat itu telah menjadi alasan penolakan kehadirannya.</w:t>
      </w:r>
    </w:p>
    <w:p w:rsidR="006772E0" w:rsidRPr="003C6B8D" w:rsidRDefault="006772E0" w:rsidP="000D02F5">
      <w:pPr>
        <w:pStyle w:val="BatangTubuh"/>
        <w:spacing w:line="360" w:lineRule="auto"/>
        <w:rPr>
          <w:sz w:val="24"/>
          <w:szCs w:val="24"/>
        </w:rPr>
      </w:pPr>
      <w:r w:rsidRPr="003C6B8D">
        <w:rPr>
          <w:rFonts w:cs="Times New Roman"/>
          <w:sz w:val="24"/>
          <w:szCs w:val="24"/>
        </w:rPr>
        <w:t xml:space="preserve">Penderitaan al-Ṭūfīy tidak berakhir dengan pengucilan dan pengasi ngan, lebih jauh lagi para ulama sezamannya banyak mencaci dan memaki fahamnya hingga saat kemudian ia dinisbahkan sebagai pengikut aktif Syi’ah.  Fakta ini didasarkan pada kenyataan bahwa fahamnya tetang </w:t>
      </w:r>
      <w:r w:rsidRPr="003C6B8D">
        <w:rPr>
          <w:rFonts w:cs="Times New Roman"/>
          <w:i/>
          <w:iCs/>
          <w:sz w:val="24"/>
          <w:szCs w:val="24"/>
        </w:rPr>
        <w:t xml:space="preserve">maṣlaḥat </w:t>
      </w:r>
      <w:r w:rsidRPr="003C6B8D">
        <w:rPr>
          <w:rFonts w:cs="Times New Roman"/>
          <w:sz w:val="24"/>
          <w:szCs w:val="24"/>
        </w:rPr>
        <w:t xml:space="preserve">berseberangan jauh dibandingkan dengan mazhab anutannya yakni Ḥanbalī. Sinyalemen ini juga semakian menguatkan pengamat pada kesimpulan bahwa al-Ṭūfīy adalah seorang yang berfaham Syi’ah. Sinyalemen ini dikemukakan oleh Ibnu Rajab yang lebih jauh </w:t>
      </w:r>
      <w:r w:rsidRPr="003C6B8D">
        <w:rPr>
          <w:rFonts w:cs="Times New Roman"/>
          <w:sz w:val="24"/>
          <w:szCs w:val="24"/>
        </w:rPr>
        <w:lastRenderedPageBreak/>
        <w:t xml:space="preserve">menuding bahwa al-Ṭūfīy sedang melakukan </w:t>
      </w:r>
      <w:r w:rsidRPr="003C6B8D">
        <w:rPr>
          <w:rFonts w:cs="Times New Roman"/>
          <w:i/>
          <w:iCs/>
          <w:sz w:val="24"/>
          <w:szCs w:val="24"/>
        </w:rPr>
        <w:t>taqiyyah</w:t>
      </w:r>
      <w:r w:rsidRPr="003C6B8D">
        <w:rPr>
          <w:rStyle w:val="FootnoteReference"/>
          <w:rFonts w:cs="Times New Roman"/>
          <w:sz w:val="24"/>
          <w:szCs w:val="24"/>
        </w:rPr>
        <w:footnoteReference w:id="25"/>
      </w:r>
      <w:r w:rsidRPr="003C6B8D">
        <w:rPr>
          <w:rFonts w:cs="Times New Roman"/>
          <w:sz w:val="24"/>
          <w:szCs w:val="24"/>
        </w:rPr>
        <w:t xml:space="preserve"> untuk menghindarkan diri dari hukuman duniawi.</w:t>
      </w:r>
      <w:r w:rsidRPr="003C6B8D">
        <w:rPr>
          <w:rStyle w:val="FootnoteReference"/>
          <w:rFonts w:cs="Times New Roman"/>
          <w:sz w:val="24"/>
          <w:szCs w:val="24"/>
        </w:rPr>
        <w:footnoteReference w:id="26"/>
      </w:r>
      <w:r w:rsidRPr="003C6B8D">
        <w:rPr>
          <w:rFonts w:cs="Times New Roman" w:hint="cs"/>
          <w:sz w:val="24"/>
          <w:szCs w:val="24"/>
          <w:rtl/>
        </w:rPr>
        <w:t xml:space="preserve"> </w:t>
      </w:r>
      <w:r w:rsidRPr="003C6B8D">
        <w:rPr>
          <w:rFonts w:cs="Times New Roman"/>
          <w:sz w:val="24"/>
          <w:szCs w:val="24"/>
        </w:rPr>
        <w:t xml:space="preserve"> </w:t>
      </w:r>
    </w:p>
    <w:p w:rsidR="006772E0" w:rsidRPr="003C6B8D" w:rsidRDefault="006772E0" w:rsidP="000D02F5">
      <w:pPr>
        <w:pStyle w:val="BatangTubuh"/>
        <w:spacing w:line="360" w:lineRule="auto"/>
        <w:ind w:firstLine="0"/>
        <w:jc w:val="both"/>
        <w:rPr>
          <w:rFonts w:cs="Times New Roman"/>
          <w:sz w:val="24"/>
          <w:szCs w:val="24"/>
        </w:rPr>
      </w:pPr>
      <w:r w:rsidRPr="003C6B8D">
        <w:rPr>
          <w:i/>
          <w:iCs/>
          <w:sz w:val="24"/>
          <w:szCs w:val="24"/>
        </w:rPr>
        <w:t xml:space="preserve">              </w:t>
      </w:r>
      <w:r w:rsidRPr="003C6B8D">
        <w:rPr>
          <w:sz w:val="24"/>
          <w:szCs w:val="24"/>
        </w:rPr>
        <w:t xml:space="preserve">Dalam benak penulis, penjelasan yang cenderung beragam dan sangat subjektif lebih banyak disebabkan oleh minimnya karya dari </w:t>
      </w:r>
      <w:r w:rsidRPr="003C6B8D">
        <w:rPr>
          <w:rFonts w:cs="Times New Roman"/>
          <w:sz w:val="24"/>
          <w:szCs w:val="24"/>
        </w:rPr>
        <w:t xml:space="preserve">al-Ṭūfīy yang dapat dipelajari secara utuh. Tulisan-tulisan al-Ṭūfīy kebanyakan dalam bentuk partikel kecil yang terurai dalam beberapa kitab.  Salah satu sumber tulisan al-Ṭūfīy yang intens membicarakan perihal </w:t>
      </w:r>
      <w:r w:rsidRPr="003C6B8D">
        <w:rPr>
          <w:rFonts w:cs="Times New Roman"/>
          <w:i/>
          <w:iCs/>
          <w:sz w:val="24"/>
          <w:szCs w:val="24"/>
        </w:rPr>
        <w:t xml:space="preserve">maṣlaḥat </w:t>
      </w:r>
      <w:r w:rsidRPr="003C6B8D">
        <w:rPr>
          <w:rFonts w:cs="Times New Roman"/>
          <w:sz w:val="24"/>
          <w:szCs w:val="24"/>
        </w:rPr>
        <w:t xml:space="preserve"> adalah tulisan yang bertalian dengan komentarnya terhadap hadis-hadis “</w:t>
      </w:r>
      <w:r w:rsidRPr="003C6B8D">
        <w:rPr>
          <w:rFonts w:cs="Times New Roman"/>
          <w:i/>
          <w:iCs/>
          <w:sz w:val="24"/>
          <w:szCs w:val="24"/>
        </w:rPr>
        <w:t>Lā ḍarara walā ḍirārah”</w:t>
      </w:r>
      <w:r w:rsidRPr="003C6B8D">
        <w:rPr>
          <w:rFonts w:cs="Times New Roman"/>
          <w:sz w:val="24"/>
          <w:szCs w:val="24"/>
        </w:rPr>
        <w:t>.</w:t>
      </w:r>
      <w:r w:rsidRPr="003C6B8D">
        <w:rPr>
          <w:rStyle w:val="FootnoteReference"/>
          <w:rFonts w:cs="Times New Roman"/>
          <w:sz w:val="24"/>
          <w:szCs w:val="24"/>
        </w:rPr>
        <w:footnoteReference w:id="27"/>
      </w:r>
      <w:r w:rsidRPr="003C6B8D">
        <w:rPr>
          <w:rFonts w:cs="Times New Roman"/>
          <w:sz w:val="24"/>
          <w:szCs w:val="24"/>
        </w:rPr>
        <w:t xml:space="preserve"> </w:t>
      </w:r>
    </w:p>
    <w:p w:rsidR="000B45C1" w:rsidRPr="000B45C1" w:rsidRDefault="006772E0" w:rsidP="000D02F5">
      <w:pPr>
        <w:pStyle w:val="BatangTubuh"/>
        <w:spacing w:line="360" w:lineRule="auto"/>
        <w:rPr>
          <w:rFonts w:cs="Times New Roman"/>
          <w:sz w:val="24"/>
          <w:szCs w:val="24"/>
          <w:lang w:val="id-ID"/>
        </w:rPr>
      </w:pPr>
      <w:r w:rsidRPr="003C6B8D">
        <w:rPr>
          <w:sz w:val="24"/>
          <w:szCs w:val="24"/>
        </w:rPr>
        <w:t>Ketiadaan literatur berkaitan dengan pemikiran al-Ṭūfīy juga disebabkan oleh kebijakan penguasa kala itu yang memblokade aspek-aspek pemikiran al-Ṭūfīy  termasuk perpustakaan pribadi al-Ṭūfīy yang terbengkalai dan tidak terurus. Konon ada sekitar 42 buah judul buku ditinggalkan oleh al-Ṭūfīy dalam berbagai topik dengan tema Alquran, yurisprudensi, logika, bahasa Arab dan sastra.</w:t>
      </w:r>
      <w:r w:rsidR="000B45C1">
        <w:rPr>
          <w:rStyle w:val="FootnoteReference"/>
          <w:sz w:val="24"/>
          <w:szCs w:val="24"/>
        </w:rPr>
        <w:footnoteReference w:id="28"/>
      </w:r>
      <w:r w:rsidR="007C1986" w:rsidRPr="003C6B8D">
        <w:rPr>
          <w:rFonts w:cs="Times New Roman"/>
          <w:sz w:val="24"/>
          <w:szCs w:val="24"/>
        </w:rPr>
        <w:t xml:space="preserve"> </w:t>
      </w:r>
      <w:r w:rsidRPr="003C6B8D">
        <w:rPr>
          <w:rFonts w:cs="Times New Roman"/>
          <w:sz w:val="24"/>
          <w:szCs w:val="24"/>
        </w:rPr>
        <w:t xml:space="preserve">al-Ṭūfīy juga dikenal sebagai figur yang kontroversial pada masanya sehingga penulis-penulis yang sezaman dengannya cenderung menjauhi tulisan al-Ṭūfīy karena dianggap banyak melawan pemikiran </w:t>
      </w:r>
      <w:r w:rsidRPr="003C6B8D">
        <w:rPr>
          <w:rFonts w:cs="Times New Roman"/>
          <w:i/>
          <w:iCs/>
          <w:sz w:val="24"/>
          <w:szCs w:val="24"/>
        </w:rPr>
        <w:t xml:space="preserve">mainstream </w:t>
      </w:r>
      <w:r w:rsidRPr="003C6B8D">
        <w:rPr>
          <w:rFonts w:cs="Times New Roman"/>
          <w:sz w:val="24"/>
          <w:szCs w:val="24"/>
        </w:rPr>
        <w:t>kala itu. Faktor ini juga termasuk penyebab utama minimnya literatur berkenaan al-Ṭūfīy yang dapat disaksikan hingga saat ini.</w:t>
      </w:r>
    </w:p>
    <w:p w:rsidR="006772E0" w:rsidRPr="003C6B8D" w:rsidRDefault="006772E0" w:rsidP="000D02F5">
      <w:pPr>
        <w:pStyle w:val="BatangTubuh"/>
        <w:numPr>
          <w:ilvl w:val="0"/>
          <w:numId w:val="1"/>
        </w:numPr>
        <w:spacing w:after="120" w:line="360" w:lineRule="auto"/>
        <w:rPr>
          <w:rFonts w:cs="Times New Roman"/>
          <w:b/>
          <w:bCs/>
          <w:iCs/>
          <w:sz w:val="24"/>
          <w:szCs w:val="24"/>
        </w:rPr>
      </w:pPr>
      <w:r w:rsidRPr="003C6B8D">
        <w:rPr>
          <w:rFonts w:cs="Times New Roman"/>
          <w:b/>
          <w:bCs/>
          <w:iCs/>
          <w:sz w:val="24"/>
          <w:szCs w:val="24"/>
        </w:rPr>
        <w:t>Pemikiran Maṣlaḥat al-Ṭūfīy</w:t>
      </w:r>
    </w:p>
    <w:p w:rsidR="006772E0" w:rsidRPr="003C6B8D" w:rsidRDefault="006772E0" w:rsidP="000D02F5">
      <w:pPr>
        <w:pStyle w:val="BatangTubuh"/>
        <w:spacing w:line="360" w:lineRule="auto"/>
        <w:rPr>
          <w:sz w:val="24"/>
          <w:szCs w:val="24"/>
          <w:lang w:val="id-ID"/>
        </w:rPr>
      </w:pPr>
      <w:r w:rsidRPr="003C6B8D">
        <w:rPr>
          <w:sz w:val="24"/>
          <w:szCs w:val="24"/>
        </w:rPr>
        <w:t xml:space="preserve">Perlindungan terhadap kemaslahatan manusia menurut </w:t>
      </w:r>
      <w:r w:rsidRPr="003C6B8D">
        <w:rPr>
          <w:rFonts w:cs="Times New Roman"/>
          <w:sz w:val="24"/>
          <w:szCs w:val="24"/>
        </w:rPr>
        <w:t>al-Ṭūfīy adalah tujuan utam</w:t>
      </w:r>
      <w:r w:rsidRPr="003C6B8D">
        <w:rPr>
          <w:sz w:val="24"/>
          <w:szCs w:val="24"/>
        </w:rPr>
        <w:t xml:space="preserve">a dari </w:t>
      </w:r>
      <w:r w:rsidRPr="003C6B8D">
        <w:rPr>
          <w:i/>
          <w:iCs/>
          <w:sz w:val="24"/>
          <w:szCs w:val="24"/>
        </w:rPr>
        <w:t>maq</w:t>
      </w:r>
      <w:r w:rsidRPr="003C6B8D">
        <w:rPr>
          <w:rFonts w:cs="Times New Roman"/>
          <w:i/>
          <w:iCs/>
          <w:sz w:val="24"/>
          <w:szCs w:val="24"/>
        </w:rPr>
        <w:t>āṣ</w:t>
      </w:r>
      <w:r w:rsidRPr="003C6B8D">
        <w:rPr>
          <w:i/>
          <w:iCs/>
          <w:sz w:val="24"/>
          <w:szCs w:val="24"/>
        </w:rPr>
        <w:t>id al-syar</w:t>
      </w:r>
      <w:r w:rsidRPr="003C6B8D">
        <w:rPr>
          <w:rFonts w:cs="Times New Roman"/>
          <w:i/>
          <w:iCs/>
          <w:sz w:val="24"/>
          <w:szCs w:val="24"/>
        </w:rPr>
        <w:t>ī</w:t>
      </w:r>
      <w:r w:rsidRPr="003C6B8D">
        <w:rPr>
          <w:i/>
          <w:iCs/>
          <w:sz w:val="24"/>
          <w:szCs w:val="24"/>
        </w:rPr>
        <w:t xml:space="preserve">’at. </w:t>
      </w:r>
      <w:r w:rsidRPr="003C6B8D">
        <w:rPr>
          <w:sz w:val="24"/>
          <w:szCs w:val="24"/>
        </w:rPr>
        <w:t xml:space="preserve">Atas landasan ini, </w:t>
      </w:r>
      <w:r w:rsidRPr="003C6B8D">
        <w:rPr>
          <w:rFonts w:cs="Times New Roman"/>
          <w:sz w:val="24"/>
          <w:szCs w:val="24"/>
        </w:rPr>
        <w:t xml:space="preserve">al-Ṭūfīy kemudian memberi penekanan bahwa </w:t>
      </w:r>
      <w:r w:rsidRPr="003C6B8D">
        <w:rPr>
          <w:rFonts w:cs="Times New Roman"/>
          <w:i/>
          <w:iCs/>
          <w:sz w:val="24"/>
          <w:szCs w:val="24"/>
        </w:rPr>
        <w:t xml:space="preserve">naṣ </w:t>
      </w:r>
      <w:r w:rsidRPr="003C6B8D">
        <w:rPr>
          <w:rFonts w:cs="Times New Roman"/>
          <w:sz w:val="24"/>
          <w:szCs w:val="24"/>
        </w:rPr>
        <w:t xml:space="preserve">dan </w:t>
      </w:r>
      <w:r w:rsidRPr="003C6B8D">
        <w:rPr>
          <w:rFonts w:cs="Times New Roman"/>
          <w:i/>
          <w:iCs/>
          <w:sz w:val="24"/>
          <w:szCs w:val="24"/>
        </w:rPr>
        <w:t xml:space="preserve">ijma’ </w:t>
      </w:r>
      <w:r w:rsidRPr="003C6B8D">
        <w:rPr>
          <w:rFonts w:cs="Times New Roman"/>
          <w:sz w:val="24"/>
          <w:szCs w:val="24"/>
        </w:rPr>
        <w:t xml:space="preserve"> sebagai dalil hukum tradisional tertinggi haruslah </w:t>
      </w:r>
      <w:r w:rsidRPr="003C6B8D">
        <w:rPr>
          <w:rFonts w:cs="Times New Roman"/>
          <w:sz w:val="24"/>
          <w:szCs w:val="24"/>
        </w:rPr>
        <w:lastRenderedPageBreak/>
        <w:t xml:space="preserve">selaras dengan </w:t>
      </w:r>
      <w:r w:rsidRPr="003C6B8D">
        <w:rPr>
          <w:rFonts w:cs="Times New Roman"/>
          <w:i/>
          <w:iCs/>
          <w:sz w:val="24"/>
          <w:szCs w:val="24"/>
        </w:rPr>
        <w:t xml:space="preserve">maṣlaḥat </w:t>
      </w:r>
      <w:r w:rsidRPr="003C6B8D">
        <w:rPr>
          <w:rFonts w:cs="Times New Roman"/>
          <w:sz w:val="24"/>
          <w:szCs w:val="24"/>
        </w:rPr>
        <w:t xml:space="preserve"> </w:t>
      </w:r>
      <w:r w:rsidRPr="003C6B8D">
        <w:rPr>
          <w:sz w:val="24"/>
          <w:szCs w:val="24"/>
        </w:rPr>
        <w:t xml:space="preserve">dan jika terjadi pertentangan antara dua sumber hukum ini dengan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maka wajib kiranya mendahulukan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atas kedua sumber yang telah disebutkan.</w:t>
      </w:r>
      <w:r w:rsidR="00040260" w:rsidRPr="003C6B8D">
        <w:rPr>
          <w:rStyle w:val="FootnoteReference"/>
          <w:sz w:val="24"/>
          <w:szCs w:val="24"/>
        </w:rPr>
        <w:footnoteReference w:id="29"/>
      </w:r>
    </w:p>
    <w:p w:rsidR="006772E0" w:rsidRPr="003C6B8D" w:rsidRDefault="006772E0" w:rsidP="000D02F5">
      <w:pPr>
        <w:pStyle w:val="BatangTubuh"/>
        <w:spacing w:line="360" w:lineRule="auto"/>
        <w:rPr>
          <w:rFonts w:cs="Times New Roman"/>
          <w:sz w:val="24"/>
          <w:szCs w:val="24"/>
          <w:lang w:val="id-ID"/>
        </w:rPr>
      </w:pPr>
      <w:r w:rsidRPr="003C6B8D">
        <w:rPr>
          <w:sz w:val="24"/>
          <w:szCs w:val="24"/>
        </w:rPr>
        <w:t>Pertanyaan mendasar yang kemudian muncul adalah; dengan apakah manusia akan mengetahui kemaslahatan itu ?  Jawabnya adalah  secara alamiyah Tuhan telah menganugerahkan kepada manusia cara-cara alami lewat pengalaman hidup manusia sendiri dan pengalaman intelegensianya sendiri.</w:t>
      </w:r>
      <w:r w:rsidR="000B45C1">
        <w:rPr>
          <w:rStyle w:val="FootnoteReference"/>
          <w:sz w:val="24"/>
          <w:szCs w:val="24"/>
        </w:rPr>
        <w:footnoteReference w:id="30"/>
      </w:r>
      <w:r w:rsidRPr="003C6B8D">
        <w:rPr>
          <w:sz w:val="24"/>
          <w:szCs w:val="24"/>
        </w:rPr>
        <w:t xml:space="preserve"> Cara ini diyakini oleh </w:t>
      </w:r>
      <w:r w:rsidRPr="003C6B8D">
        <w:rPr>
          <w:rFonts w:cs="Times New Roman"/>
          <w:sz w:val="24"/>
          <w:szCs w:val="24"/>
        </w:rPr>
        <w:t>al-Ṭūfīy sebagai tujuan yang paling meyakinkan manusia sehingga posisi tersebut tidak mungkin dapat digantikan dengan sesuatu atau metode lain yang meragukan atau dengan kata lain hal yang meragukan tidak mungkin akan mengantarkan manusia pada kemaslahatan.</w:t>
      </w:r>
      <w:r w:rsidRPr="003C6B8D">
        <w:rPr>
          <w:sz w:val="24"/>
          <w:szCs w:val="24"/>
        </w:rPr>
        <w:t xml:space="preserve">  </w:t>
      </w:r>
      <w:r w:rsidRPr="003C6B8D">
        <w:rPr>
          <w:rFonts w:cs="Times New Roman"/>
          <w:sz w:val="24"/>
          <w:szCs w:val="24"/>
        </w:rPr>
        <w:t xml:space="preserve">al-Ṭūfīy menyitir bahwa sesuatu yang harus dipanuti oleh manusia bukanlah kesimpulan-kesimpulan para ahli hukum atau penafsiran terhadap </w:t>
      </w:r>
      <w:r w:rsidRPr="003C6B8D">
        <w:rPr>
          <w:rFonts w:cs="Times New Roman"/>
          <w:i/>
          <w:iCs/>
          <w:sz w:val="24"/>
          <w:szCs w:val="24"/>
        </w:rPr>
        <w:t xml:space="preserve">naṣ </w:t>
      </w:r>
      <w:r w:rsidRPr="003C6B8D">
        <w:rPr>
          <w:rFonts w:cs="Times New Roman"/>
          <w:sz w:val="24"/>
          <w:szCs w:val="24"/>
        </w:rPr>
        <w:t xml:space="preserve">melainkan sekumpulan dari penghayatan akal terhadap dalil-dalil yang dimaksud. Atau dengan kata lain bahwa hakim tertinggi dari kemaslahatan hukum ataupun kehidupan duniawi manusia bukanlah </w:t>
      </w:r>
      <w:r w:rsidRPr="003C6B8D">
        <w:rPr>
          <w:rFonts w:cs="Times New Roman"/>
          <w:i/>
          <w:iCs/>
          <w:sz w:val="24"/>
          <w:szCs w:val="24"/>
        </w:rPr>
        <w:t>naṣ</w:t>
      </w:r>
      <w:r w:rsidRPr="003C6B8D">
        <w:rPr>
          <w:rFonts w:cs="Times New Roman"/>
          <w:sz w:val="24"/>
          <w:szCs w:val="24"/>
        </w:rPr>
        <w:t xml:space="preserve"> ataupun </w:t>
      </w:r>
      <w:r w:rsidRPr="003C6B8D">
        <w:rPr>
          <w:rFonts w:cs="Times New Roman"/>
          <w:i/>
          <w:iCs/>
          <w:sz w:val="24"/>
          <w:szCs w:val="24"/>
        </w:rPr>
        <w:t xml:space="preserve">ijma’ </w:t>
      </w:r>
      <w:r w:rsidRPr="003C6B8D">
        <w:rPr>
          <w:rFonts w:cs="Times New Roman"/>
          <w:sz w:val="24"/>
          <w:szCs w:val="24"/>
        </w:rPr>
        <w:t>melainkan tuntunan akal intelegensia dalam seluruh kehidupan.</w:t>
      </w:r>
      <w:r w:rsidRPr="003C6B8D">
        <w:rPr>
          <w:rFonts w:cs="Times New Roman"/>
          <w:i/>
          <w:iCs/>
          <w:sz w:val="24"/>
          <w:szCs w:val="24"/>
        </w:rPr>
        <w:t xml:space="preserve"> </w:t>
      </w:r>
      <w:r w:rsidRPr="003C6B8D">
        <w:rPr>
          <w:rFonts w:cs="Times New Roman"/>
          <w:sz w:val="24"/>
          <w:szCs w:val="24"/>
        </w:rPr>
        <w:t xml:space="preserve">Proporsi mengenai hak dan tanggungjawab manusia dalam memutus dan membentuk hukum untuk kehidupan duniawi mereka yang selaras dengan tuntutan akal dan pemahamannya sendiri. al-Ṭūfīy mempertegas hal ini dengan mengajukan premis; tidak dapat dikatakan bahwa hukum-hukum yang telah ditetapkan oleh para imam mazhab sebagai hukum yang tepat sasaran terhadap </w:t>
      </w:r>
      <w:r w:rsidRPr="003C6B8D">
        <w:rPr>
          <w:rFonts w:cs="Times New Roman"/>
          <w:i/>
          <w:iCs/>
          <w:sz w:val="24"/>
          <w:szCs w:val="24"/>
        </w:rPr>
        <w:t>maṣlaḥat.</w:t>
      </w:r>
    </w:p>
    <w:p w:rsidR="006772E0" w:rsidRPr="003C6B8D" w:rsidRDefault="006772E0" w:rsidP="000D02F5">
      <w:pPr>
        <w:pStyle w:val="BatangTubuh"/>
        <w:spacing w:line="360" w:lineRule="auto"/>
        <w:rPr>
          <w:rFonts w:cs="Times New Roman"/>
          <w:sz w:val="24"/>
          <w:szCs w:val="24"/>
        </w:rPr>
      </w:pPr>
      <w:r w:rsidRPr="003C6B8D">
        <w:rPr>
          <w:sz w:val="24"/>
          <w:szCs w:val="24"/>
        </w:rPr>
        <w:t xml:space="preserve">Telah disinggung di depan kehadiran </w:t>
      </w:r>
      <w:r w:rsidRPr="003C6B8D">
        <w:rPr>
          <w:rFonts w:cs="Times New Roman"/>
          <w:sz w:val="24"/>
          <w:szCs w:val="24"/>
        </w:rPr>
        <w:t xml:space="preserve">al-Ṭūfīy sebagai salah satu penggagas </w:t>
      </w:r>
      <w:r w:rsidRPr="003C6B8D">
        <w:rPr>
          <w:rFonts w:cs="Times New Roman"/>
          <w:i/>
          <w:iCs/>
          <w:sz w:val="24"/>
          <w:szCs w:val="24"/>
        </w:rPr>
        <w:t xml:space="preserve">maṣlaḥat </w:t>
      </w:r>
      <w:r w:rsidRPr="003C6B8D">
        <w:rPr>
          <w:rFonts w:cs="Times New Roman"/>
          <w:sz w:val="24"/>
          <w:szCs w:val="24"/>
        </w:rPr>
        <w:t xml:space="preserve"> telah mendatangkan polemik baru di kalangan pemikir hukum Islam.  Setidaknya ada empat hal mendasar dimana al-Ṭūfīy meletakkan pijakan dasar tentang teori </w:t>
      </w:r>
      <w:r w:rsidRPr="003C6B8D">
        <w:rPr>
          <w:rFonts w:cs="Times New Roman"/>
          <w:i/>
          <w:iCs/>
          <w:sz w:val="24"/>
          <w:szCs w:val="24"/>
        </w:rPr>
        <w:t xml:space="preserve">maṣlaḥat </w:t>
      </w:r>
      <w:r w:rsidRPr="003C6B8D">
        <w:rPr>
          <w:rFonts w:cs="Times New Roman"/>
          <w:sz w:val="24"/>
          <w:szCs w:val="24"/>
        </w:rPr>
        <w:t>yaitu :</w:t>
      </w:r>
    </w:p>
    <w:p w:rsidR="006772E0" w:rsidRPr="003C6B8D" w:rsidRDefault="006772E0" w:rsidP="000D02F5">
      <w:pPr>
        <w:pStyle w:val="BatangTubuh"/>
        <w:spacing w:line="360" w:lineRule="auto"/>
        <w:ind w:left="1080" w:hanging="360"/>
        <w:rPr>
          <w:sz w:val="24"/>
          <w:szCs w:val="24"/>
        </w:rPr>
      </w:pPr>
      <w:r w:rsidRPr="003C6B8D">
        <w:rPr>
          <w:rFonts w:cs="Times New Roman"/>
          <w:sz w:val="24"/>
          <w:szCs w:val="24"/>
        </w:rPr>
        <w:lastRenderedPageBreak/>
        <w:t xml:space="preserve">Independensi rasio perlu ditegakkan dalam upaya menemukan </w:t>
      </w:r>
      <w:r w:rsidRPr="003C6B8D">
        <w:rPr>
          <w:rFonts w:cs="Times New Roman"/>
          <w:i/>
          <w:iCs/>
          <w:sz w:val="24"/>
          <w:szCs w:val="24"/>
        </w:rPr>
        <w:t xml:space="preserve">maṣlaḥat </w:t>
      </w:r>
      <w:r w:rsidRPr="003C6B8D">
        <w:rPr>
          <w:rFonts w:cs="Times New Roman"/>
          <w:sz w:val="24"/>
          <w:szCs w:val="24"/>
        </w:rPr>
        <w:t xml:space="preserve"> maupun </w:t>
      </w:r>
      <w:r w:rsidRPr="003C6B8D">
        <w:rPr>
          <w:rFonts w:cs="Times New Roman"/>
          <w:i/>
          <w:iCs/>
          <w:sz w:val="24"/>
          <w:szCs w:val="24"/>
        </w:rPr>
        <w:t xml:space="preserve">mafsadat. </w:t>
      </w:r>
      <w:r w:rsidRPr="003C6B8D">
        <w:rPr>
          <w:rFonts w:cs="Times New Roman"/>
          <w:sz w:val="24"/>
          <w:szCs w:val="24"/>
        </w:rPr>
        <w:t xml:space="preserve">Menurut al-Ṭūfīy akal  memiliki kompetensi yang guna menentukan kebaikan dan keburukan itu.  Pemikiran ini nyata-nyata bertentangan dengan para pemikir pada masanya yang menyatakan bahwa </w:t>
      </w:r>
      <w:r w:rsidRPr="003C6B8D">
        <w:rPr>
          <w:rFonts w:cs="Times New Roman"/>
          <w:i/>
          <w:iCs/>
          <w:sz w:val="24"/>
          <w:szCs w:val="24"/>
        </w:rPr>
        <w:t xml:space="preserve">maṣlaḥat </w:t>
      </w:r>
      <w:r w:rsidRPr="003C6B8D">
        <w:rPr>
          <w:rFonts w:cs="Times New Roman"/>
          <w:sz w:val="24"/>
          <w:szCs w:val="24"/>
        </w:rPr>
        <w:t xml:space="preserve"> yang ada hanyalah yang berpijak pada naṣ belaka</w:t>
      </w:r>
    </w:p>
    <w:p w:rsidR="006772E0" w:rsidRPr="003C6B8D" w:rsidRDefault="006772E0" w:rsidP="000D02F5">
      <w:pPr>
        <w:pStyle w:val="BatangTubuh"/>
        <w:spacing w:line="360" w:lineRule="auto"/>
        <w:ind w:left="1080" w:hanging="360"/>
        <w:rPr>
          <w:sz w:val="24"/>
          <w:szCs w:val="24"/>
        </w:rPr>
      </w:pP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merupakan dalil syar’i yang penting dan independen dalam pengertian bahwa validisasi kehujjahan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tidak bergantung kepada </w:t>
      </w:r>
      <w:r w:rsidRPr="003C6B8D">
        <w:rPr>
          <w:i/>
          <w:iCs/>
          <w:sz w:val="24"/>
          <w:szCs w:val="24"/>
        </w:rPr>
        <w:t>na</w:t>
      </w:r>
      <w:r w:rsidRPr="003C6B8D">
        <w:rPr>
          <w:rFonts w:cs="Times New Roman"/>
          <w:i/>
          <w:iCs/>
          <w:sz w:val="24"/>
          <w:szCs w:val="24"/>
        </w:rPr>
        <w:t>ṣ</w:t>
      </w:r>
      <w:r w:rsidRPr="003C6B8D">
        <w:rPr>
          <w:sz w:val="24"/>
          <w:szCs w:val="24"/>
        </w:rPr>
        <w:t>. Hal ini dapat dibuktikan dengan menelaah kenyataan yang ada dalam masyarakat dalam bentuk kebiasaan (</w:t>
      </w:r>
      <w:r w:rsidRPr="003C6B8D">
        <w:rPr>
          <w:i/>
          <w:iCs/>
          <w:sz w:val="24"/>
          <w:szCs w:val="24"/>
        </w:rPr>
        <w:t>‘urf</w:t>
      </w:r>
      <w:r w:rsidRPr="003C6B8D">
        <w:rPr>
          <w:sz w:val="24"/>
          <w:szCs w:val="24"/>
        </w:rPr>
        <w:t xml:space="preserve">). Sebagai sebuah dalil syar’i,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 xml:space="preserve">ḥat </w:t>
      </w:r>
      <w:r w:rsidRPr="003C6B8D">
        <w:rPr>
          <w:rFonts w:cs="Times New Roman"/>
          <w:sz w:val="24"/>
          <w:szCs w:val="24"/>
        </w:rPr>
        <w:t xml:space="preserve"> memberikan otorisasi kepada akal manusia untuk menentukan kebaikan dan keburukan. Pendapat ini pula sangat ber seberangan dengan </w:t>
      </w:r>
      <w:r w:rsidRPr="003C6B8D">
        <w:rPr>
          <w:rFonts w:cs="Times New Roman"/>
          <w:i/>
          <w:iCs/>
          <w:sz w:val="24"/>
          <w:szCs w:val="24"/>
        </w:rPr>
        <w:t xml:space="preserve">mainstream </w:t>
      </w:r>
      <w:r w:rsidRPr="003C6B8D">
        <w:rPr>
          <w:rFonts w:cs="Times New Roman"/>
          <w:sz w:val="24"/>
          <w:szCs w:val="24"/>
        </w:rPr>
        <w:t xml:space="preserve"> kala itu yang menyataka bahwa segala macam </w:t>
      </w:r>
      <w:r w:rsidRPr="003C6B8D">
        <w:rPr>
          <w:rFonts w:cs="Times New Roman"/>
          <w:i/>
          <w:iCs/>
          <w:sz w:val="24"/>
          <w:szCs w:val="24"/>
        </w:rPr>
        <w:t xml:space="preserve">maṣlaḥat  </w:t>
      </w:r>
      <w:r w:rsidRPr="003C6B8D">
        <w:rPr>
          <w:rFonts w:cs="Times New Roman"/>
          <w:sz w:val="24"/>
          <w:szCs w:val="24"/>
        </w:rPr>
        <w:t xml:space="preserve">harus mengacu pada </w:t>
      </w:r>
      <w:r w:rsidRPr="003C6B8D">
        <w:rPr>
          <w:rFonts w:cs="Times New Roman"/>
          <w:i/>
          <w:iCs/>
          <w:sz w:val="24"/>
          <w:szCs w:val="24"/>
        </w:rPr>
        <w:t xml:space="preserve">naṣ </w:t>
      </w:r>
      <w:r w:rsidRPr="003C6B8D">
        <w:rPr>
          <w:rFonts w:cs="Times New Roman"/>
          <w:sz w:val="24"/>
          <w:szCs w:val="24"/>
        </w:rPr>
        <w:t xml:space="preserve"> yang jelas (</w:t>
      </w:r>
      <w:r w:rsidRPr="003C6B8D">
        <w:rPr>
          <w:rFonts w:cs="Times New Roman"/>
          <w:i/>
          <w:iCs/>
          <w:sz w:val="24"/>
          <w:szCs w:val="24"/>
        </w:rPr>
        <w:t>ṣarīh</w:t>
      </w:r>
      <w:r w:rsidRPr="003C6B8D">
        <w:rPr>
          <w:rFonts w:cs="Times New Roman"/>
          <w:sz w:val="24"/>
          <w:szCs w:val="24"/>
        </w:rPr>
        <w:t>)</w:t>
      </w:r>
      <w:r w:rsidRPr="003C6B8D">
        <w:rPr>
          <w:rFonts w:cs="Times New Roman"/>
          <w:i/>
          <w:iCs/>
          <w:sz w:val="24"/>
          <w:szCs w:val="24"/>
        </w:rPr>
        <w:t xml:space="preserve"> </w:t>
      </w:r>
      <w:r w:rsidRPr="003C6B8D">
        <w:rPr>
          <w:rFonts w:cs="Times New Roman"/>
          <w:sz w:val="24"/>
          <w:szCs w:val="24"/>
        </w:rPr>
        <w:t xml:space="preserve"> </w:t>
      </w:r>
    </w:p>
    <w:p w:rsidR="006772E0" w:rsidRPr="003C6B8D" w:rsidRDefault="006772E0" w:rsidP="000D02F5">
      <w:pPr>
        <w:pStyle w:val="BatangTubuh"/>
        <w:spacing w:line="360" w:lineRule="auto"/>
        <w:ind w:left="1080" w:hanging="360"/>
        <w:rPr>
          <w:sz w:val="24"/>
          <w:szCs w:val="24"/>
        </w:rPr>
      </w:pPr>
      <w:r w:rsidRPr="003C6B8D">
        <w:rPr>
          <w:i/>
          <w:iCs/>
          <w:sz w:val="24"/>
          <w:szCs w:val="24"/>
        </w:rPr>
        <w:t xml:space="preserve"> </w:t>
      </w:r>
      <w:r w:rsidRPr="003C6B8D">
        <w:rPr>
          <w:sz w:val="24"/>
          <w:szCs w:val="24"/>
        </w:rPr>
        <w:t xml:space="preserve">Objek penerapan atau lapangan praktik dari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hanyalah pada lapangan-lapangan sosial, begitupula pada hukum-hukum kebiasaan. Ini menandakan bahwa lapangan yang berkaitan dengan ‘</w:t>
      </w:r>
      <w:r w:rsidRPr="003C6B8D">
        <w:rPr>
          <w:i/>
          <w:iCs/>
          <w:sz w:val="24"/>
          <w:szCs w:val="24"/>
        </w:rPr>
        <w:t>ub</w:t>
      </w:r>
      <w:r w:rsidRPr="003C6B8D">
        <w:rPr>
          <w:rFonts w:cs="Times New Roman"/>
          <w:i/>
          <w:iCs/>
          <w:sz w:val="24"/>
          <w:szCs w:val="24"/>
        </w:rPr>
        <w:t>ū</w:t>
      </w:r>
      <w:r w:rsidRPr="003C6B8D">
        <w:rPr>
          <w:i/>
          <w:iCs/>
          <w:sz w:val="24"/>
          <w:szCs w:val="24"/>
        </w:rPr>
        <w:t xml:space="preserve">diyat </w:t>
      </w:r>
      <w:r w:rsidRPr="003C6B8D">
        <w:rPr>
          <w:sz w:val="24"/>
          <w:szCs w:val="24"/>
        </w:rPr>
        <w:t xml:space="preserve"> bukanlah daerah jamahan dari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sehingga sakralitas ritus keagamaan masih tetap terjaga dan dengan demikian sumber  dari </w:t>
      </w:r>
      <w:r w:rsidRPr="003C6B8D">
        <w:rPr>
          <w:i/>
          <w:iCs/>
          <w:sz w:val="24"/>
          <w:szCs w:val="24"/>
        </w:rPr>
        <w:t xml:space="preserve">‘ubudiyat </w:t>
      </w:r>
      <w:r w:rsidRPr="003C6B8D">
        <w:rPr>
          <w:sz w:val="24"/>
          <w:szCs w:val="24"/>
        </w:rPr>
        <w:t xml:space="preserve"> bukanlah </w:t>
      </w: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melainkan </w:t>
      </w:r>
      <w:r w:rsidRPr="003C6B8D">
        <w:rPr>
          <w:i/>
          <w:iCs/>
          <w:sz w:val="24"/>
          <w:szCs w:val="24"/>
        </w:rPr>
        <w:t>na</w:t>
      </w:r>
      <w:r w:rsidRPr="003C6B8D">
        <w:rPr>
          <w:rFonts w:cs="Times New Roman"/>
          <w:i/>
          <w:iCs/>
          <w:sz w:val="24"/>
          <w:szCs w:val="24"/>
        </w:rPr>
        <w:t>ṣ</w:t>
      </w:r>
      <w:r w:rsidRPr="003C6B8D">
        <w:rPr>
          <w:i/>
          <w:iCs/>
          <w:sz w:val="24"/>
          <w:szCs w:val="24"/>
        </w:rPr>
        <w:t xml:space="preserve"> </w:t>
      </w:r>
      <w:r w:rsidRPr="003C6B8D">
        <w:rPr>
          <w:sz w:val="24"/>
          <w:szCs w:val="24"/>
        </w:rPr>
        <w:t xml:space="preserve">ataupun </w:t>
      </w:r>
      <w:r w:rsidRPr="003C6B8D">
        <w:rPr>
          <w:i/>
          <w:iCs/>
          <w:sz w:val="24"/>
          <w:szCs w:val="24"/>
        </w:rPr>
        <w:t>ijma’</w:t>
      </w:r>
    </w:p>
    <w:p w:rsidR="006772E0" w:rsidRPr="003C6B8D" w:rsidRDefault="006772E0" w:rsidP="000D02F5">
      <w:pPr>
        <w:pStyle w:val="BatangTubuh"/>
        <w:spacing w:line="360" w:lineRule="auto"/>
        <w:ind w:left="1080" w:hanging="360"/>
        <w:rPr>
          <w:sz w:val="24"/>
          <w:szCs w:val="24"/>
        </w:rPr>
      </w:pPr>
      <w:r w:rsidRPr="003C6B8D">
        <w:rPr>
          <w:i/>
          <w:iCs/>
          <w:sz w:val="24"/>
          <w:szCs w:val="24"/>
        </w:rPr>
        <w:t>Ma</w:t>
      </w:r>
      <w:r w:rsidRPr="003C6B8D">
        <w:rPr>
          <w:rFonts w:cs="Times New Roman"/>
          <w:i/>
          <w:iCs/>
          <w:sz w:val="24"/>
          <w:szCs w:val="24"/>
        </w:rPr>
        <w:t>ṣ</w:t>
      </w:r>
      <w:r w:rsidRPr="003C6B8D">
        <w:rPr>
          <w:i/>
          <w:iCs/>
          <w:sz w:val="24"/>
          <w:szCs w:val="24"/>
        </w:rPr>
        <w:t>la</w:t>
      </w:r>
      <w:r w:rsidRPr="003C6B8D">
        <w:rPr>
          <w:rFonts w:cs="Times New Roman"/>
          <w:i/>
          <w:iCs/>
          <w:sz w:val="24"/>
          <w:szCs w:val="24"/>
        </w:rPr>
        <w:t>ḥ</w:t>
      </w:r>
      <w:r w:rsidRPr="003C6B8D">
        <w:rPr>
          <w:i/>
          <w:iCs/>
          <w:sz w:val="24"/>
          <w:szCs w:val="24"/>
        </w:rPr>
        <w:t xml:space="preserve">at </w:t>
      </w:r>
      <w:r w:rsidRPr="003C6B8D">
        <w:rPr>
          <w:sz w:val="24"/>
          <w:szCs w:val="24"/>
        </w:rPr>
        <w:t xml:space="preserve"> merupakan dalil syar’i yang terpenting sehingga eksistensinya harus berada di atas </w:t>
      </w:r>
      <w:r w:rsidRPr="003C6B8D">
        <w:rPr>
          <w:i/>
          <w:iCs/>
          <w:sz w:val="24"/>
          <w:szCs w:val="24"/>
        </w:rPr>
        <w:t>na</w:t>
      </w:r>
      <w:r w:rsidRPr="003C6B8D">
        <w:rPr>
          <w:rFonts w:cs="Times New Roman"/>
          <w:i/>
          <w:iCs/>
          <w:sz w:val="24"/>
          <w:szCs w:val="24"/>
        </w:rPr>
        <w:t>ṣ</w:t>
      </w:r>
      <w:r w:rsidRPr="003C6B8D">
        <w:rPr>
          <w:i/>
          <w:iCs/>
          <w:sz w:val="24"/>
          <w:szCs w:val="24"/>
        </w:rPr>
        <w:t xml:space="preserve"> </w:t>
      </w:r>
      <w:r w:rsidRPr="003C6B8D">
        <w:rPr>
          <w:sz w:val="24"/>
          <w:szCs w:val="24"/>
        </w:rPr>
        <w:t xml:space="preserve">dan </w:t>
      </w:r>
      <w:r w:rsidRPr="003C6B8D">
        <w:rPr>
          <w:i/>
          <w:iCs/>
          <w:sz w:val="24"/>
          <w:szCs w:val="24"/>
        </w:rPr>
        <w:t xml:space="preserve">ijma’. </w:t>
      </w:r>
      <w:r w:rsidRPr="003C6B8D">
        <w:rPr>
          <w:sz w:val="24"/>
          <w:szCs w:val="24"/>
        </w:rPr>
        <w:t xml:space="preserve">Prioritas ini bukan dimaksud menafikan </w:t>
      </w:r>
      <w:r w:rsidRPr="003C6B8D">
        <w:rPr>
          <w:i/>
          <w:iCs/>
          <w:sz w:val="24"/>
          <w:szCs w:val="24"/>
        </w:rPr>
        <w:t>na</w:t>
      </w:r>
      <w:r w:rsidRPr="003C6B8D">
        <w:rPr>
          <w:rFonts w:cs="Times New Roman"/>
          <w:i/>
          <w:iCs/>
          <w:sz w:val="24"/>
          <w:szCs w:val="24"/>
        </w:rPr>
        <w:t>ṣ</w:t>
      </w:r>
      <w:r w:rsidRPr="003C6B8D">
        <w:rPr>
          <w:i/>
          <w:iCs/>
          <w:sz w:val="24"/>
          <w:szCs w:val="24"/>
        </w:rPr>
        <w:t xml:space="preserve"> </w:t>
      </w:r>
      <w:r w:rsidRPr="003C6B8D">
        <w:rPr>
          <w:sz w:val="24"/>
          <w:szCs w:val="24"/>
        </w:rPr>
        <w:t xml:space="preserve">dan </w:t>
      </w:r>
      <w:r w:rsidRPr="003C6B8D">
        <w:rPr>
          <w:i/>
          <w:iCs/>
          <w:sz w:val="24"/>
          <w:szCs w:val="24"/>
        </w:rPr>
        <w:t xml:space="preserve">ijma’ </w:t>
      </w:r>
      <w:r w:rsidRPr="003C6B8D">
        <w:rPr>
          <w:sz w:val="24"/>
          <w:szCs w:val="24"/>
        </w:rPr>
        <w:t xml:space="preserve">melainkan ditempatkan untuk menetralisir keumuman </w:t>
      </w:r>
      <w:r w:rsidRPr="003C6B8D">
        <w:rPr>
          <w:i/>
          <w:iCs/>
          <w:sz w:val="24"/>
          <w:szCs w:val="24"/>
        </w:rPr>
        <w:t>na</w:t>
      </w:r>
      <w:r w:rsidRPr="003C6B8D">
        <w:rPr>
          <w:rFonts w:cs="Times New Roman"/>
          <w:i/>
          <w:iCs/>
          <w:sz w:val="24"/>
          <w:szCs w:val="24"/>
        </w:rPr>
        <w:t>ṣ</w:t>
      </w:r>
      <w:r w:rsidRPr="003C6B8D">
        <w:rPr>
          <w:i/>
          <w:iCs/>
          <w:sz w:val="24"/>
          <w:szCs w:val="24"/>
        </w:rPr>
        <w:t xml:space="preserve"> </w:t>
      </w:r>
      <w:r w:rsidRPr="003C6B8D">
        <w:rPr>
          <w:sz w:val="24"/>
          <w:szCs w:val="24"/>
        </w:rPr>
        <w:t xml:space="preserve"> dan </w:t>
      </w:r>
      <w:r w:rsidRPr="003C6B8D">
        <w:rPr>
          <w:i/>
          <w:iCs/>
          <w:sz w:val="24"/>
          <w:szCs w:val="24"/>
        </w:rPr>
        <w:t xml:space="preserve">ijma’ </w:t>
      </w:r>
      <w:r w:rsidRPr="003C6B8D">
        <w:rPr>
          <w:sz w:val="24"/>
          <w:szCs w:val="24"/>
        </w:rPr>
        <w:t xml:space="preserve">sebagai penafsiran terhadap keduanya. Dalam pandangan ini, </w:t>
      </w:r>
      <w:r w:rsidRPr="003C6B8D">
        <w:rPr>
          <w:i/>
          <w:iCs/>
          <w:sz w:val="24"/>
          <w:szCs w:val="24"/>
        </w:rPr>
        <w:t>na</w:t>
      </w:r>
      <w:r w:rsidRPr="003C6B8D">
        <w:rPr>
          <w:rFonts w:cs="Times New Roman"/>
          <w:i/>
          <w:iCs/>
          <w:sz w:val="24"/>
          <w:szCs w:val="24"/>
        </w:rPr>
        <w:t>ṣ</w:t>
      </w:r>
      <w:r w:rsidRPr="003C6B8D">
        <w:rPr>
          <w:i/>
          <w:iCs/>
          <w:sz w:val="24"/>
          <w:szCs w:val="24"/>
        </w:rPr>
        <w:t xml:space="preserve"> </w:t>
      </w:r>
      <w:r w:rsidRPr="003C6B8D">
        <w:rPr>
          <w:sz w:val="24"/>
          <w:szCs w:val="24"/>
        </w:rPr>
        <w:t xml:space="preserve">dan </w:t>
      </w:r>
      <w:r w:rsidRPr="003C6B8D">
        <w:rPr>
          <w:i/>
          <w:iCs/>
          <w:sz w:val="24"/>
          <w:szCs w:val="24"/>
        </w:rPr>
        <w:t>ijma</w:t>
      </w:r>
      <w:r w:rsidRPr="003C6B8D">
        <w:rPr>
          <w:rFonts w:cs="Times New Roman"/>
          <w:i/>
          <w:iCs/>
          <w:sz w:val="24"/>
          <w:szCs w:val="24"/>
        </w:rPr>
        <w:t xml:space="preserve">’ </w:t>
      </w:r>
      <w:r w:rsidRPr="003C6B8D">
        <w:rPr>
          <w:rFonts w:cs="Times New Roman"/>
          <w:sz w:val="24"/>
          <w:szCs w:val="24"/>
        </w:rPr>
        <w:t xml:space="preserve">didudukkan sebagai dalil global dan </w:t>
      </w:r>
      <w:r w:rsidRPr="003C6B8D">
        <w:rPr>
          <w:rFonts w:cs="Times New Roman"/>
          <w:i/>
          <w:iCs/>
          <w:sz w:val="24"/>
          <w:szCs w:val="24"/>
        </w:rPr>
        <w:t xml:space="preserve">maṣlaḥat </w:t>
      </w:r>
      <w:r w:rsidRPr="003C6B8D">
        <w:rPr>
          <w:rFonts w:cs="Times New Roman"/>
          <w:sz w:val="24"/>
          <w:szCs w:val="24"/>
        </w:rPr>
        <w:t xml:space="preserve">merupakan penjelasan terhadap keduanya. </w:t>
      </w:r>
      <w:r w:rsidRPr="003C6B8D">
        <w:rPr>
          <w:sz w:val="24"/>
          <w:szCs w:val="24"/>
        </w:rPr>
        <w:t xml:space="preserve"> </w:t>
      </w:r>
      <w:r w:rsidRPr="003C6B8D">
        <w:rPr>
          <w:i/>
          <w:iCs/>
          <w:sz w:val="24"/>
          <w:szCs w:val="24"/>
        </w:rPr>
        <w:t xml:space="preserve"> </w:t>
      </w:r>
    </w:p>
    <w:p w:rsidR="006772E0" w:rsidRPr="003C6B8D" w:rsidRDefault="006772E0" w:rsidP="000D02F5">
      <w:pPr>
        <w:pStyle w:val="BatangTubuh"/>
        <w:spacing w:line="360" w:lineRule="auto"/>
        <w:rPr>
          <w:sz w:val="24"/>
          <w:szCs w:val="24"/>
        </w:rPr>
      </w:pPr>
      <w:r w:rsidRPr="003C6B8D">
        <w:rPr>
          <w:sz w:val="24"/>
          <w:szCs w:val="24"/>
        </w:rPr>
        <w:t xml:space="preserve">Point ketiga dari argumentasi </w:t>
      </w:r>
      <w:r w:rsidRPr="003C6B8D">
        <w:rPr>
          <w:rFonts w:cs="Times New Roman"/>
          <w:sz w:val="24"/>
          <w:szCs w:val="24"/>
        </w:rPr>
        <w:t xml:space="preserve">al-Ṭūfīy menyiratkan bahwa lapangan </w:t>
      </w:r>
      <w:r w:rsidRPr="003C6B8D">
        <w:rPr>
          <w:rFonts w:cs="Times New Roman"/>
          <w:i/>
          <w:iCs/>
          <w:sz w:val="24"/>
          <w:szCs w:val="24"/>
        </w:rPr>
        <w:t xml:space="preserve">maṣlaḥat </w:t>
      </w:r>
      <w:r w:rsidRPr="003C6B8D">
        <w:rPr>
          <w:rFonts w:cs="Times New Roman"/>
          <w:sz w:val="24"/>
          <w:szCs w:val="24"/>
        </w:rPr>
        <w:t xml:space="preserve"> memiliki batas cakupan yaitu pada masalah yang berhubungan dengan muamalat, adat-istiadat dan penataan hukum dalam perpolitikan negara. Selanjutnya lapangan dimaksud dibatasi pada hal-hal yang berhubungan dengan masalah ubudiyah, </w:t>
      </w:r>
      <w:r w:rsidRPr="003C6B8D">
        <w:rPr>
          <w:rFonts w:cs="Times New Roman"/>
          <w:sz w:val="24"/>
          <w:szCs w:val="24"/>
        </w:rPr>
        <w:lastRenderedPageBreak/>
        <w:t>penetapan kadar peng hitungan proporsi dan lain sebagainya.</w:t>
      </w:r>
      <w:r w:rsidRPr="003C6B8D">
        <w:rPr>
          <w:rStyle w:val="FootnoteReference"/>
          <w:rFonts w:cs="Times New Roman"/>
          <w:sz w:val="24"/>
          <w:szCs w:val="24"/>
        </w:rPr>
        <w:footnoteReference w:id="31"/>
      </w:r>
      <w:r w:rsidRPr="003C6B8D">
        <w:rPr>
          <w:rFonts w:cs="Times New Roman"/>
          <w:i/>
          <w:iCs/>
          <w:sz w:val="24"/>
          <w:szCs w:val="24"/>
        </w:rPr>
        <w:t xml:space="preserve"> </w:t>
      </w:r>
      <w:r w:rsidRPr="003C6B8D">
        <w:rPr>
          <w:rFonts w:cs="Times New Roman"/>
          <w:sz w:val="24"/>
          <w:szCs w:val="24"/>
        </w:rPr>
        <w:t xml:space="preserve">Area yang ditentukan oleh al-Ṭūfīy menyiratkan terbatasnya alas fikir </w:t>
      </w:r>
      <w:r w:rsidRPr="003C6B8D">
        <w:rPr>
          <w:rFonts w:cs="Times New Roman"/>
          <w:i/>
          <w:iCs/>
          <w:sz w:val="24"/>
          <w:szCs w:val="24"/>
        </w:rPr>
        <w:t xml:space="preserve">maṣlaḥat </w:t>
      </w:r>
      <w:r w:rsidRPr="003C6B8D">
        <w:rPr>
          <w:rFonts w:cs="Times New Roman"/>
          <w:sz w:val="24"/>
          <w:szCs w:val="24"/>
        </w:rPr>
        <w:t xml:space="preserve"> yang dikemukakan nya. Ini berarti kritikan para pemikir ke arah al-Ṭūfīy juga perlu diamati secara proporsional, mengingat al-Ṭūfīy sendiri masih sangat hati-hati melontarkan idenya.  </w:t>
      </w:r>
    </w:p>
    <w:p w:rsidR="006772E0" w:rsidRPr="003C6B8D" w:rsidRDefault="006772E0" w:rsidP="000D02F5">
      <w:pPr>
        <w:pStyle w:val="BatangTubuh"/>
        <w:spacing w:line="360" w:lineRule="auto"/>
        <w:rPr>
          <w:rFonts w:cs="Times New Roman"/>
          <w:sz w:val="24"/>
          <w:szCs w:val="24"/>
        </w:rPr>
      </w:pPr>
      <w:r w:rsidRPr="003C6B8D">
        <w:rPr>
          <w:sz w:val="24"/>
          <w:szCs w:val="24"/>
        </w:rPr>
        <w:t xml:space="preserve">Point keempat dari alur fikir </w:t>
      </w:r>
      <w:r w:rsidRPr="003C6B8D">
        <w:rPr>
          <w:rFonts w:cs="Times New Roman"/>
          <w:sz w:val="24"/>
          <w:szCs w:val="24"/>
        </w:rPr>
        <w:t xml:space="preserve">al-Ṭūfīy telah membawa para pengamat kepada kesimpulan bahwa </w:t>
      </w:r>
      <w:r w:rsidRPr="003C6B8D">
        <w:rPr>
          <w:rFonts w:cs="Times New Roman"/>
          <w:i/>
          <w:iCs/>
          <w:sz w:val="24"/>
          <w:szCs w:val="24"/>
        </w:rPr>
        <w:t xml:space="preserve">naṣ </w:t>
      </w:r>
      <w:r w:rsidRPr="003C6B8D">
        <w:rPr>
          <w:rFonts w:cs="Times New Roman"/>
          <w:sz w:val="24"/>
          <w:szCs w:val="24"/>
        </w:rPr>
        <w:t xml:space="preserve">yang ada dalam benak al-Ṭūfīy adalah </w:t>
      </w:r>
      <w:r w:rsidRPr="003C6B8D">
        <w:rPr>
          <w:rFonts w:cs="Times New Roman"/>
          <w:i/>
          <w:iCs/>
          <w:sz w:val="24"/>
          <w:szCs w:val="24"/>
        </w:rPr>
        <w:t xml:space="preserve">naṣ </w:t>
      </w:r>
      <w:r w:rsidRPr="003C6B8D">
        <w:rPr>
          <w:rFonts w:cs="Times New Roman"/>
          <w:sz w:val="24"/>
          <w:szCs w:val="24"/>
        </w:rPr>
        <w:t xml:space="preserve">yang bersifat </w:t>
      </w:r>
      <w:r w:rsidRPr="003C6B8D">
        <w:rPr>
          <w:rFonts w:cs="Times New Roman"/>
          <w:i/>
          <w:iCs/>
          <w:sz w:val="24"/>
          <w:szCs w:val="24"/>
        </w:rPr>
        <w:t xml:space="preserve">qaṭ’īy. </w:t>
      </w:r>
      <w:r w:rsidRPr="003C6B8D">
        <w:rPr>
          <w:rFonts w:cs="Times New Roman"/>
          <w:sz w:val="24"/>
          <w:szCs w:val="24"/>
        </w:rPr>
        <w:t xml:space="preserve"> Alas fikir ini perlu untuk dikemas ulang kembali dalam pengertian memberi interpretasi terhadap ide al-Ṭūfīy yang sebenarnya berkaitan dengan </w:t>
      </w:r>
      <w:r w:rsidRPr="003C6B8D">
        <w:rPr>
          <w:rFonts w:cs="Times New Roman"/>
          <w:i/>
          <w:iCs/>
          <w:sz w:val="24"/>
          <w:szCs w:val="24"/>
        </w:rPr>
        <w:t>naṣ</w:t>
      </w:r>
      <w:r w:rsidRPr="003C6B8D">
        <w:rPr>
          <w:rFonts w:cs="Times New Roman"/>
          <w:sz w:val="24"/>
          <w:szCs w:val="24"/>
        </w:rPr>
        <w:t xml:space="preserve">. Ungkapan al-Ṭūfīy sendiri bahwa prioritas </w:t>
      </w:r>
      <w:r w:rsidRPr="003C6B8D">
        <w:rPr>
          <w:rFonts w:cs="Times New Roman"/>
          <w:i/>
          <w:iCs/>
          <w:sz w:val="24"/>
          <w:szCs w:val="24"/>
        </w:rPr>
        <w:t xml:space="preserve">maṣlaḥat </w:t>
      </w:r>
      <w:r w:rsidRPr="003C6B8D">
        <w:rPr>
          <w:rFonts w:cs="Times New Roman"/>
          <w:sz w:val="24"/>
          <w:szCs w:val="24"/>
        </w:rPr>
        <w:t xml:space="preserve"> atas </w:t>
      </w:r>
      <w:r w:rsidRPr="003C6B8D">
        <w:rPr>
          <w:rFonts w:cs="Times New Roman"/>
          <w:i/>
          <w:iCs/>
          <w:sz w:val="24"/>
          <w:szCs w:val="24"/>
        </w:rPr>
        <w:t xml:space="preserve">naṣ </w:t>
      </w:r>
      <w:r w:rsidRPr="003C6B8D">
        <w:rPr>
          <w:rFonts w:cs="Times New Roman"/>
          <w:sz w:val="24"/>
          <w:szCs w:val="24"/>
        </w:rPr>
        <w:t xml:space="preserve">dan </w:t>
      </w:r>
      <w:r w:rsidRPr="003C6B8D">
        <w:rPr>
          <w:rFonts w:cs="Times New Roman"/>
          <w:i/>
          <w:iCs/>
          <w:sz w:val="24"/>
          <w:szCs w:val="24"/>
        </w:rPr>
        <w:t xml:space="preserve">ijma’ </w:t>
      </w:r>
      <w:r w:rsidRPr="003C6B8D">
        <w:rPr>
          <w:rFonts w:cs="Times New Roman"/>
          <w:sz w:val="24"/>
          <w:szCs w:val="24"/>
        </w:rPr>
        <w:t xml:space="preserve">dalam batas upaya untuk melakukan pengkhususan </w:t>
      </w:r>
      <w:r w:rsidRPr="003C6B8D">
        <w:rPr>
          <w:rFonts w:cs="Times New Roman"/>
          <w:i/>
          <w:iCs/>
          <w:sz w:val="24"/>
          <w:szCs w:val="24"/>
        </w:rPr>
        <w:t>naṣ</w:t>
      </w:r>
      <w:r w:rsidRPr="003C6B8D">
        <w:rPr>
          <w:rFonts w:cs="Times New Roman"/>
          <w:sz w:val="24"/>
          <w:szCs w:val="24"/>
        </w:rPr>
        <w:t xml:space="preserve"> yang umum dan pemberian penjelasan terhadap </w:t>
      </w:r>
      <w:r w:rsidRPr="003C6B8D">
        <w:rPr>
          <w:rFonts w:cs="Times New Roman"/>
          <w:i/>
          <w:iCs/>
          <w:sz w:val="24"/>
          <w:szCs w:val="24"/>
        </w:rPr>
        <w:t xml:space="preserve">naṣ </w:t>
      </w:r>
      <w:r w:rsidRPr="003C6B8D">
        <w:rPr>
          <w:rFonts w:cs="Times New Roman"/>
          <w:sz w:val="24"/>
          <w:szCs w:val="24"/>
        </w:rPr>
        <w:t xml:space="preserve">yang bersifat </w:t>
      </w:r>
      <w:r w:rsidRPr="003C6B8D">
        <w:rPr>
          <w:rFonts w:cs="Times New Roman"/>
          <w:i/>
          <w:iCs/>
          <w:sz w:val="24"/>
          <w:szCs w:val="24"/>
        </w:rPr>
        <w:t>mujmal</w:t>
      </w:r>
      <w:r w:rsidRPr="003C6B8D">
        <w:rPr>
          <w:rFonts w:cs="Times New Roman"/>
          <w:sz w:val="24"/>
          <w:szCs w:val="24"/>
        </w:rPr>
        <w:t xml:space="preserve">.  Dalam pendapat para ahli </w:t>
      </w:r>
      <w:r w:rsidRPr="003C6B8D">
        <w:rPr>
          <w:rFonts w:cs="Times New Roman"/>
          <w:i/>
          <w:iCs/>
          <w:sz w:val="24"/>
          <w:szCs w:val="24"/>
        </w:rPr>
        <w:t xml:space="preserve">uṣūl </w:t>
      </w:r>
      <w:r w:rsidRPr="003C6B8D">
        <w:rPr>
          <w:rFonts w:cs="Times New Roman"/>
          <w:sz w:val="24"/>
          <w:szCs w:val="24"/>
        </w:rPr>
        <w:t xml:space="preserve"> indikator untuk menetapkan bahwa </w:t>
      </w:r>
      <w:r w:rsidRPr="003C6B8D">
        <w:rPr>
          <w:rFonts w:cs="Times New Roman"/>
          <w:i/>
          <w:iCs/>
          <w:sz w:val="24"/>
          <w:szCs w:val="24"/>
        </w:rPr>
        <w:t xml:space="preserve">naṣ </w:t>
      </w:r>
      <w:r w:rsidRPr="003C6B8D">
        <w:rPr>
          <w:rFonts w:cs="Times New Roman"/>
          <w:sz w:val="24"/>
          <w:szCs w:val="24"/>
        </w:rPr>
        <w:t xml:space="preserve">itu </w:t>
      </w:r>
      <w:r w:rsidRPr="003C6B8D">
        <w:rPr>
          <w:rFonts w:cs="Times New Roman"/>
          <w:i/>
          <w:iCs/>
          <w:sz w:val="24"/>
          <w:szCs w:val="24"/>
        </w:rPr>
        <w:t xml:space="preserve">ẓannī </w:t>
      </w:r>
      <w:r w:rsidRPr="003C6B8D">
        <w:rPr>
          <w:rFonts w:cs="Times New Roman"/>
          <w:sz w:val="24"/>
          <w:szCs w:val="24"/>
        </w:rPr>
        <w:t xml:space="preserve">terletak pada keumumannya. Dengan demikian pemikiran al-Ṭūfīy bahwa </w:t>
      </w:r>
      <w:r w:rsidRPr="003C6B8D">
        <w:rPr>
          <w:rFonts w:cs="Times New Roman"/>
          <w:i/>
          <w:iCs/>
          <w:sz w:val="24"/>
          <w:szCs w:val="24"/>
        </w:rPr>
        <w:t xml:space="preserve">maṣlaḥat </w:t>
      </w:r>
      <w:r w:rsidRPr="003C6B8D">
        <w:rPr>
          <w:rFonts w:cs="Times New Roman"/>
          <w:sz w:val="24"/>
          <w:szCs w:val="24"/>
        </w:rPr>
        <w:t xml:space="preserve">mendapat prioritas utama daripada </w:t>
      </w:r>
      <w:r w:rsidRPr="003C6B8D">
        <w:rPr>
          <w:rFonts w:cs="Times New Roman"/>
          <w:i/>
          <w:iCs/>
          <w:sz w:val="24"/>
          <w:szCs w:val="24"/>
        </w:rPr>
        <w:t xml:space="preserve">naṣ </w:t>
      </w:r>
      <w:r w:rsidRPr="003C6B8D">
        <w:rPr>
          <w:rFonts w:cs="Times New Roman"/>
          <w:sz w:val="24"/>
          <w:szCs w:val="24"/>
        </w:rPr>
        <w:t xml:space="preserve">dan </w:t>
      </w:r>
      <w:r w:rsidRPr="003C6B8D">
        <w:rPr>
          <w:rFonts w:cs="Times New Roman"/>
          <w:i/>
          <w:iCs/>
          <w:sz w:val="24"/>
          <w:szCs w:val="24"/>
        </w:rPr>
        <w:t xml:space="preserve">ijma’ </w:t>
      </w:r>
      <w:r w:rsidRPr="003C6B8D">
        <w:rPr>
          <w:rFonts w:cs="Times New Roman"/>
          <w:sz w:val="24"/>
          <w:szCs w:val="24"/>
        </w:rPr>
        <w:t xml:space="preserve">hanya berlaku pada </w:t>
      </w:r>
      <w:r w:rsidRPr="003C6B8D">
        <w:rPr>
          <w:rFonts w:cs="Times New Roman"/>
          <w:i/>
          <w:iCs/>
          <w:sz w:val="24"/>
          <w:szCs w:val="24"/>
        </w:rPr>
        <w:t>naṣ</w:t>
      </w:r>
      <w:r w:rsidRPr="003C6B8D">
        <w:rPr>
          <w:rFonts w:cs="Times New Roman"/>
          <w:sz w:val="24"/>
          <w:szCs w:val="24"/>
        </w:rPr>
        <w:t xml:space="preserve"> yang bersifat </w:t>
      </w:r>
      <w:r w:rsidRPr="003C6B8D">
        <w:rPr>
          <w:rFonts w:cs="Times New Roman"/>
          <w:i/>
          <w:iCs/>
          <w:sz w:val="24"/>
          <w:szCs w:val="24"/>
        </w:rPr>
        <w:t xml:space="preserve">ẓannīy. </w:t>
      </w:r>
      <w:r w:rsidRPr="003C6B8D">
        <w:rPr>
          <w:rFonts w:cs="Times New Roman"/>
          <w:sz w:val="24"/>
          <w:szCs w:val="24"/>
        </w:rPr>
        <w:t xml:space="preserve">Tanggapan para pemikir seperiode dengan al-Ṭūfīy serta pemikir sesudahnya sungguh meneguhkan keyakinan bahwa mereka hanya salah menginterpretasi konsep </w:t>
      </w:r>
      <w:r w:rsidRPr="003C6B8D">
        <w:rPr>
          <w:rFonts w:cs="Times New Roman"/>
          <w:i/>
          <w:iCs/>
          <w:sz w:val="24"/>
          <w:szCs w:val="24"/>
        </w:rPr>
        <w:t xml:space="preserve">maṣlaḥat </w:t>
      </w:r>
      <w:r w:rsidRPr="003C6B8D">
        <w:rPr>
          <w:rFonts w:cs="Times New Roman"/>
          <w:sz w:val="24"/>
          <w:szCs w:val="24"/>
        </w:rPr>
        <w:t xml:space="preserve"> al-Ṭūfīy yang sebenar nya.  Dengan kata lain wawasan berfikir al-Ṭūfīy pada masanya telah melampaui masa yang jauh sesudahnya mengingat kondisi objektif ketika al-Ṭūfīy mengidekan </w:t>
      </w:r>
      <w:r w:rsidRPr="003C6B8D">
        <w:rPr>
          <w:rFonts w:cs="Times New Roman"/>
          <w:i/>
          <w:iCs/>
          <w:sz w:val="24"/>
          <w:szCs w:val="24"/>
        </w:rPr>
        <w:t>maṣlaḥat</w:t>
      </w:r>
      <w:r w:rsidRPr="003C6B8D">
        <w:rPr>
          <w:rFonts w:cs="Times New Roman"/>
          <w:sz w:val="24"/>
          <w:szCs w:val="24"/>
        </w:rPr>
        <w:t xml:space="preserve">nya belum kondusif dengan zaman itu. </w:t>
      </w:r>
    </w:p>
    <w:p w:rsidR="006772E0" w:rsidRPr="003C6B8D" w:rsidRDefault="006772E0" w:rsidP="000D02F5">
      <w:pPr>
        <w:pStyle w:val="BatangTubuh"/>
        <w:spacing w:line="360" w:lineRule="auto"/>
        <w:rPr>
          <w:rFonts w:cs="Times New Roman"/>
          <w:sz w:val="24"/>
          <w:szCs w:val="24"/>
        </w:rPr>
      </w:pPr>
      <w:r w:rsidRPr="003C6B8D">
        <w:rPr>
          <w:rFonts w:cs="Times New Roman"/>
          <w:sz w:val="24"/>
          <w:szCs w:val="24"/>
        </w:rPr>
        <w:t xml:space="preserve">Terkait dengan </w:t>
      </w:r>
      <w:r w:rsidRPr="003C6B8D">
        <w:rPr>
          <w:rFonts w:cs="Times New Roman"/>
          <w:i/>
          <w:iCs/>
          <w:sz w:val="24"/>
          <w:szCs w:val="24"/>
        </w:rPr>
        <w:t xml:space="preserve">ijma’ </w:t>
      </w:r>
      <w:r w:rsidRPr="003C6B8D">
        <w:rPr>
          <w:rFonts w:cs="Times New Roman"/>
          <w:sz w:val="24"/>
          <w:szCs w:val="24"/>
        </w:rPr>
        <w:t xml:space="preserve">al-Ṭūfīy menggugat eksistensinya dengan mengajukan argumentasi bahwa </w:t>
      </w:r>
      <w:r w:rsidRPr="003C6B8D">
        <w:rPr>
          <w:rFonts w:cs="Times New Roman"/>
          <w:i/>
          <w:iCs/>
          <w:sz w:val="24"/>
          <w:szCs w:val="24"/>
        </w:rPr>
        <w:t xml:space="preserve">ijma’ </w:t>
      </w:r>
      <w:r w:rsidRPr="003C6B8D">
        <w:rPr>
          <w:rFonts w:cs="Times New Roman"/>
          <w:sz w:val="24"/>
          <w:szCs w:val="24"/>
        </w:rPr>
        <w:t xml:space="preserve"> tidak pernah menjadi landasan hukum setelah terbunuhnya khalifah keempat hingga runtuhnya lembaga formal kehalifahan pasca Turki Uṣmānī. Tidak didapati catatan khusus yang membicarakan eksistensi </w:t>
      </w:r>
      <w:r w:rsidRPr="003C6B8D">
        <w:rPr>
          <w:rFonts w:cs="Times New Roman"/>
          <w:i/>
          <w:iCs/>
          <w:sz w:val="24"/>
          <w:szCs w:val="24"/>
        </w:rPr>
        <w:t xml:space="preserve">ijma’ </w:t>
      </w:r>
      <w:r w:rsidRPr="003C6B8D">
        <w:rPr>
          <w:rFonts w:cs="Times New Roman"/>
          <w:sz w:val="24"/>
          <w:szCs w:val="24"/>
        </w:rPr>
        <w:t xml:space="preserve"> secara formal ataukah non formal yang dicetuskan oleh sebuah pemerintahan atau lainnya dalam kelembagaan kekuasaan Islam. Untukm mendukung teori ini, al-Ṭūfīy menggunakan pendekatan hadis yang berbicara tentang tidak akan adanya kesepakatan ummat  (</w:t>
      </w:r>
      <w:r w:rsidRPr="003C6B8D">
        <w:rPr>
          <w:rFonts w:cs="Times New Roman"/>
          <w:i/>
          <w:iCs/>
          <w:sz w:val="24"/>
          <w:szCs w:val="24"/>
        </w:rPr>
        <w:t>Lā tajtami’ ummatī ‘alā al-khaṭa</w:t>
      </w:r>
      <w:r w:rsidRPr="003C6B8D">
        <w:rPr>
          <w:rFonts w:cs="Times New Roman"/>
          <w:sz w:val="24"/>
          <w:szCs w:val="24"/>
        </w:rPr>
        <w:t xml:space="preserve">). Sebagai hadis yang sebelumnya tidak dikenal oleh </w:t>
      </w:r>
      <w:r w:rsidRPr="003C6B8D">
        <w:rPr>
          <w:rFonts w:cs="Times New Roman"/>
          <w:sz w:val="24"/>
          <w:szCs w:val="24"/>
        </w:rPr>
        <w:lastRenderedPageBreak/>
        <w:t xml:space="preserve">Imām Syāfi’ namun dipublikasikan dan terakhir dihimpun dalam himpunan-himpunan klasik. Dalam penilaian al-Ṭūfīy </w:t>
      </w:r>
      <w:r w:rsidRPr="003C6B8D">
        <w:rPr>
          <w:rFonts w:cs="Times New Roman"/>
          <w:i/>
          <w:iCs/>
          <w:sz w:val="24"/>
          <w:szCs w:val="24"/>
        </w:rPr>
        <w:t xml:space="preserve">ijma’ </w:t>
      </w:r>
      <w:r w:rsidRPr="003C6B8D">
        <w:rPr>
          <w:rFonts w:cs="Times New Roman"/>
          <w:sz w:val="24"/>
          <w:szCs w:val="24"/>
        </w:rPr>
        <w:t xml:space="preserve"> bukanlah sesuatu yang bersih dari kesalahan dan ia tidak dapat disandarkan kepada hadis Nabi untuk mendukung eksistensinya. Dalam penelitian lebih mendalam lagi, al-Ṭūfīy menjelaskan bahwa hadis Nabi yang menyatakan tiada kesepakatan tersebut bukanlah termasuk kategori hadis </w:t>
      </w:r>
      <w:r w:rsidRPr="003C6B8D">
        <w:rPr>
          <w:rFonts w:cs="Times New Roman"/>
          <w:i/>
          <w:iCs/>
          <w:sz w:val="24"/>
          <w:szCs w:val="24"/>
        </w:rPr>
        <w:t xml:space="preserve">mutawātir, </w:t>
      </w:r>
      <w:r w:rsidRPr="003C6B8D">
        <w:rPr>
          <w:rFonts w:cs="Times New Roman"/>
          <w:sz w:val="24"/>
          <w:szCs w:val="24"/>
        </w:rPr>
        <w:t xml:space="preserve">dengan demikian maka ia tidak dapat menjadi landasan untuk mendukung eksistensi </w:t>
      </w:r>
      <w:r w:rsidRPr="003C6B8D">
        <w:rPr>
          <w:rFonts w:cs="Times New Roman"/>
          <w:i/>
          <w:iCs/>
          <w:sz w:val="24"/>
          <w:szCs w:val="24"/>
        </w:rPr>
        <w:t xml:space="preserve">ijma’ </w:t>
      </w:r>
      <w:r w:rsidRPr="003C6B8D">
        <w:rPr>
          <w:rFonts w:cs="Times New Roman"/>
          <w:sz w:val="24"/>
          <w:szCs w:val="24"/>
        </w:rPr>
        <w:t xml:space="preserve"> dalam hukum Islam. Secara faktual menurut al-Ṭūfīy, banyak kalangan dari kaum muslimin yang menolak gagasan </w:t>
      </w:r>
      <w:r w:rsidRPr="003C6B8D">
        <w:rPr>
          <w:rFonts w:cs="Times New Roman"/>
          <w:i/>
          <w:iCs/>
          <w:sz w:val="24"/>
          <w:szCs w:val="24"/>
        </w:rPr>
        <w:t xml:space="preserve">ijma’ </w:t>
      </w:r>
      <w:r w:rsidRPr="003C6B8D">
        <w:rPr>
          <w:rFonts w:cs="Times New Roman"/>
          <w:sz w:val="24"/>
          <w:szCs w:val="24"/>
        </w:rPr>
        <w:t xml:space="preserve">semisal golongan Khawarij, Syi’ah, kaun Ẓāhiriyah dan sebagian besar tokoh-tokoh Mu’tazilah. </w:t>
      </w:r>
    </w:p>
    <w:p w:rsidR="006772E0" w:rsidRPr="003C6B8D" w:rsidRDefault="006772E0" w:rsidP="000D02F5">
      <w:pPr>
        <w:pStyle w:val="BatangTubuh"/>
        <w:spacing w:line="360" w:lineRule="auto"/>
        <w:rPr>
          <w:rFonts w:cs="Times New Roman"/>
          <w:sz w:val="24"/>
          <w:szCs w:val="24"/>
        </w:rPr>
      </w:pPr>
      <w:r w:rsidRPr="003C6B8D">
        <w:rPr>
          <w:rFonts w:cs="Times New Roman"/>
          <w:sz w:val="24"/>
          <w:szCs w:val="24"/>
        </w:rPr>
        <w:t xml:space="preserve">Berikut ini gagasan al-Ṭūfīy mengenai proporsi </w:t>
      </w:r>
      <w:r w:rsidRPr="003C6B8D">
        <w:rPr>
          <w:rFonts w:cs="Times New Roman"/>
          <w:i/>
          <w:iCs/>
          <w:sz w:val="24"/>
          <w:szCs w:val="24"/>
        </w:rPr>
        <w:t xml:space="preserve">maṣlaḥat </w:t>
      </w:r>
      <w:r w:rsidRPr="003C6B8D">
        <w:rPr>
          <w:rFonts w:cs="Times New Roman"/>
          <w:sz w:val="24"/>
          <w:szCs w:val="24"/>
        </w:rPr>
        <w:t xml:space="preserve"> atas </w:t>
      </w:r>
      <w:r w:rsidRPr="003C6B8D">
        <w:rPr>
          <w:rFonts w:cs="Times New Roman"/>
          <w:i/>
          <w:iCs/>
          <w:sz w:val="24"/>
          <w:szCs w:val="24"/>
        </w:rPr>
        <w:t xml:space="preserve">naṣ </w:t>
      </w:r>
      <w:r w:rsidRPr="003C6B8D">
        <w:rPr>
          <w:rFonts w:cs="Times New Roman"/>
          <w:sz w:val="24"/>
          <w:szCs w:val="24"/>
        </w:rPr>
        <w:t xml:space="preserve">dan </w:t>
      </w:r>
      <w:r w:rsidRPr="003C6B8D">
        <w:rPr>
          <w:rFonts w:cs="Times New Roman"/>
          <w:i/>
          <w:iCs/>
          <w:sz w:val="24"/>
          <w:szCs w:val="24"/>
        </w:rPr>
        <w:t>ijma’;</w:t>
      </w:r>
    </w:p>
    <w:p w:rsidR="006772E0" w:rsidRPr="003C6B8D" w:rsidRDefault="006772E0" w:rsidP="000D02F5">
      <w:pPr>
        <w:pStyle w:val="BatangTubuh"/>
        <w:spacing w:line="360" w:lineRule="auto"/>
        <w:ind w:left="1080" w:hanging="360"/>
        <w:rPr>
          <w:rFonts w:cs="Times New Roman"/>
          <w:sz w:val="24"/>
          <w:szCs w:val="24"/>
        </w:rPr>
      </w:pPr>
      <w:r w:rsidRPr="003C6B8D">
        <w:rPr>
          <w:rFonts w:cs="Times New Roman"/>
          <w:sz w:val="24"/>
          <w:szCs w:val="24"/>
        </w:rPr>
        <w:t xml:space="preserve">Dalam pandangannya, </w:t>
      </w:r>
      <w:r w:rsidRPr="003C6B8D">
        <w:rPr>
          <w:rFonts w:cs="Times New Roman"/>
          <w:i/>
          <w:iCs/>
          <w:sz w:val="24"/>
          <w:szCs w:val="24"/>
        </w:rPr>
        <w:t xml:space="preserve">ijma’ </w:t>
      </w:r>
      <w:r w:rsidRPr="003C6B8D">
        <w:rPr>
          <w:rFonts w:cs="Times New Roman"/>
          <w:sz w:val="24"/>
          <w:szCs w:val="24"/>
        </w:rPr>
        <w:t xml:space="preserve">merupakan dalil yang masih diperselisihkan oleh para ahli hukum, sementara pada sisi lain </w:t>
      </w:r>
      <w:r w:rsidRPr="003C6B8D">
        <w:rPr>
          <w:rFonts w:cs="Times New Roman"/>
          <w:i/>
          <w:iCs/>
          <w:sz w:val="24"/>
          <w:szCs w:val="24"/>
        </w:rPr>
        <w:t xml:space="preserve">maṣlaḥat </w:t>
      </w:r>
      <w:r w:rsidRPr="003C6B8D">
        <w:rPr>
          <w:rFonts w:cs="Times New Roman"/>
          <w:sz w:val="24"/>
          <w:szCs w:val="24"/>
        </w:rPr>
        <w:t xml:space="preserve"> memiliki aspek umum yang dapat diterima secara aklamasi, maka atas dasar ini al-Ṭūfīy kemudian berkesimpulan bahwa </w:t>
      </w:r>
      <w:r w:rsidRPr="003C6B8D">
        <w:rPr>
          <w:rFonts w:cs="Times New Roman"/>
          <w:i/>
          <w:iCs/>
          <w:sz w:val="24"/>
          <w:szCs w:val="24"/>
        </w:rPr>
        <w:t xml:space="preserve">maṣlaḥat </w:t>
      </w:r>
      <w:r w:rsidRPr="003C6B8D">
        <w:rPr>
          <w:rFonts w:cs="Times New Roman"/>
          <w:sz w:val="24"/>
          <w:szCs w:val="24"/>
        </w:rPr>
        <w:t xml:space="preserve">dapat dijadikan sebagai dasar hukum yang lebih utama dibandingkan </w:t>
      </w:r>
      <w:r w:rsidRPr="003C6B8D">
        <w:rPr>
          <w:rFonts w:cs="Times New Roman"/>
          <w:i/>
          <w:iCs/>
          <w:sz w:val="24"/>
          <w:szCs w:val="24"/>
        </w:rPr>
        <w:t>ijma’</w:t>
      </w:r>
    </w:p>
    <w:p w:rsidR="006772E0" w:rsidRPr="003C6B8D" w:rsidRDefault="006772E0" w:rsidP="000D02F5">
      <w:pPr>
        <w:pStyle w:val="BatangTubuh"/>
        <w:spacing w:line="360" w:lineRule="auto"/>
        <w:ind w:left="1080" w:hanging="360"/>
        <w:rPr>
          <w:rFonts w:cs="Times New Roman"/>
          <w:sz w:val="24"/>
          <w:szCs w:val="24"/>
        </w:rPr>
      </w:pPr>
      <w:r w:rsidRPr="003C6B8D">
        <w:rPr>
          <w:rFonts w:cs="Times New Roman"/>
          <w:sz w:val="24"/>
          <w:szCs w:val="24"/>
        </w:rPr>
        <w:t xml:space="preserve">Tentang </w:t>
      </w:r>
      <w:r w:rsidRPr="003C6B8D">
        <w:rPr>
          <w:rFonts w:cs="Times New Roman"/>
          <w:i/>
          <w:iCs/>
          <w:sz w:val="24"/>
          <w:szCs w:val="24"/>
        </w:rPr>
        <w:t xml:space="preserve">naṣ </w:t>
      </w:r>
      <w:r w:rsidRPr="003C6B8D">
        <w:rPr>
          <w:rFonts w:cs="Times New Roman"/>
          <w:sz w:val="24"/>
          <w:szCs w:val="24"/>
        </w:rPr>
        <w:t xml:space="preserve">al-Ṭūfīy berpandangan bahwa ayat-ayat Alquran telah menimbulkan polarisasi berfikir yang amat luas di kalangan ahli hukum. Disamping itu terdapat perbedaan yang amat jelas mengenai objek berfikir antara  satu ayat dengan lainnya. Selanjutnya al-Ṭūfīy menjelaskan kalau ayat-ayat dimaksud berbicara pada area  sangat luas dan umum sehingga terjadi perbedaan berfikir yang luas pula. </w:t>
      </w:r>
      <w:r w:rsidRPr="003C6B8D">
        <w:rPr>
          <w:rFonts w:cs="Times New Roman"/>
          <w:i/>
          <w:iCs/>
          <w:sz w:val="24"/>
          <w:szCs w:val="24"/>
        </w:rPr>
        <w:t xml:space="preserve">Maṣlaḥat </w:t>
      </w:r>
      <w:r w:rsidRPr="003C6B8D">
        <w:rPr>
          <w:rFonts w:cs="Times New Roman"/>
          <w:sz w:val="24"/>
          <w:szCs w:val="24"/>
        </w:rPr>
        <w:t>adalah solusi yang ditawarkan oleh al-Ṭūfīy untuk mengeleminir area fikir yang luas tersebut menuju pada kesatuan dan keseragaman  pendapat.</w:t>
      </w:r>
    </w:p>
    <w:p w:rsidR="00F1274B" w:rsidRPr="003C6B8D" w:rsidRDefault="006772E0" w:rsidP="000D02F5">
      <w:pPr>
        <w:pStyle w:val="BatangTubuh"/>
        <w:spacing w:line="360" w:lineRule="auto"/>
        <w:ind w:left="1080" w:hanging="360"/>
        <w:rPr>
          <w:rFonts w:cs="Times New Roman"/>
          <w:sz w:val="24"/>
          <w:szCs w:val="24"/>
        </w:rPr>
      </w:pPr>
      <w:r w:rsidRPr="003C6B8D">
        <w:rPr>
          <w:rFonts w:cs="Times New Roman"/>
          <w:sz w:val="24"/>
          <w:szCs w:val="24"/>
        </w:rPr>
        <w:t xml:space="preserve">Dalam pandangan al-Ṭūfīy hadis Nabi juga tidak sedikit mengalami kondisi yang berbeda dengan semangat </w:t>
      </w:r>
      <w:r w:rsidRPr="003C6B8D">
        <w:rPr>
          <w:rFonts w:cs="Times New Roman"/>
          <w:i/>
          <w:iCs/>
          <w:sz w:val="24"/>
          <w:szCs w:val="24"/>
        </w:rPr>
        <w:t xml:space="preserve">maṣlaḥat </w:t>
      </w:r>
      <w:r w:rsidRPr="003C6B8D">
        <w:rPr>
          <w:rFonts w:cs="Times New Roman"/>
          <w:sz w:val="24"/>
          <w:szCs w:val="24"/>
        </w:rPr>
        <w:t xml:space="preserve">sebagai tujuan akhir dari </w:t>
      </w:r>
      <w:r w:rsidRPr="003C6B8D">
        <w:rPr>
          <w:rFonts w:cs="Times New Roman"/>
          <w:i/>
          <w:iCs/>
          <w:sz w:val="24"/>
          <w:szCs w:val="24"/>
        </w:rPr>
        <w:t xml:space="preserve">maqāṣid al-syarī’at. </w:t>
      </w:r>
      <w:r w:rsidRPr="003C6B8D">
        <w:rPr>
          <w:rFonts w:cs="Times New Roman"/>
          <w:sz w:val="24"/>
          <w:szCs w:val="24"/>
        </w:rPr>
        <w:t xml:space="preserve">Tidak sedikit sahabat telah mengadakan pengalihan dari verbalitas Nabi kepada semangat </w:t>
      </w:r>
      <w:r w:rsidRPr="003C6B8D">
        <w:rPr>
          <w:rFonts w:cs="Times New Roman"/>
          <w:i/>
          <w:iCs/>
          <w:sz w:val="24"/>
          <w:szCs w:val="24"/>
        </w:rPr>
        <w:t>maṣlaḥat</w:t>
      </w:r>
      <w:r w:rsidRPr="003C6B8D">
        <w:rPr>
          <w:rFonts w:cs="Times New Roman"/>
          <w:sz w:val="24"/>
          <w:szCs w:val="24"/>
        </w:rPr>
        <w:t xml:space="preserve">. Contoh kongkrit ke arah ini adalah implementasi sahabat ketika melakukan perjalanan menuju ke Banī Quraiḍah dimana sahabat melakukan perpindahan dari sabda hadis </w:t>
      </w:r>
      <w:r w:rsidRPr="003C6B8D">
        <w:rPr>
          <w:rFonts w:cs="Times New Roman"/>
          <w:sz w:val="24"/>
          <w:szCs w:val="24"/>
        </w:rPr>
        <w:lastRenderedPageBreak/>
        <w:t xml:space="preserve">ke semangat </w:t>
      </w:r>
      <w:r w:rsidRPr="003C6B8D">
        <w:rPr>
          <w:rFonts w:cs="Times New Roman"/>
          <w:i/>
          <w:iCs/>
          <w:sz w:val="24"/>
          <w:szCs w:val="24"/>
        </w:rPr>
        <w:t xml:space="preserve">maṣlaḥat. </w:t>
      </w:r>
      <w:r w:rsidRPr="003C6B8D">
        <w:rPr>
          <w:rFonts w:cs="Times New Roman"/>
          <w:sz w:val="24"/>
          <w:szCs w:val="24"/>
        </w:rPr>
        <w:t xml:space="preserve">Perbuatan sebagian sahabat yang jelas berbeda dengan perintah Nabi untuk tidak melaksanakan shalat Ashar kala itu merupakan semangat dari </w:t>
      </w:r>
      <w:r w:rsidRPr="003C6B8D">
        <w:rPr>
          <w:rFonts w:cs="Times New Roman"/>
          <w:i/>
          <w:iCs/>
          <w:sz w:val="24"/>
          <w:szCs w:val="24"/>
        </w:rPr>
        <w:t xml:space="preserve">maṣlaḥat </w:t>
      </w:r>
      <w:r w:rsidRPr="003C6B8D">
        <w:rPr>
          <w:rFonts w:cs="Times New Roman"/>
          <w:sz w:val="24"/>
          <w:szCs w:val="24"/>
        </w:rPr>
        <w:t>karena kekhawatiran terbenamnya matahari.</w:t>
      </w:r>
      <w:r w:rsidRPr="003C6B8D">
        <w:rPr>
          <w:rStyle w:val="FootnoteReference"/>
          <w:rFonts w:cs="Times New Roman"/>
          <w:sz w:val="24"/>
          <w:szCs w:val="24"/>
        </w:rPr>
        <w:footnoteReference w:id="32"/>
      </w:r>
      <w:r w:rsidRPr="003C6B8D">
        <w:rPr>
          <w:rFonts w:cs="Times New Roman"/>
          <w:sz w:val="24"/>
          <w:szCs w:val="24"/>
        </w:rPr>
        <w:t xml:space="preserve"> Meskipun sebagian kalangan menilai bahwa perbuatan sahabat menunaikan shalat sebelum mereka tiba di </w:t>
      </w:r>
      <w:r w:rsidRPr="003C6B8D">
        <w:rPr>
          <w:rFonts w:cs="Times New Roman"/>
          <w:bCs/>
          <w:sz w:val="24"/>
          <w:szCs w:val="24"/>
        </w:rPr>
        <w:t xml:space="preserve">Banī Quraiḍah merupakan sebuah upaya </w:t>
      </w:r>
      <w:r w:rsidRPr="003C6B8D">
        <w:rPr>
          <w:rFonts w:cs="Times New Roman"/>
          <w:bCs/>
          <w:i/>
          <w:iCs/>
          <w:sz w:val="24"/>
          <w:szCs w:val="24"/>
        </w:rPr>
        <w:t xml:space="preserve">istinbāṭ </w:t>
      </w:r>
      <w:r w:rsidRPr="003C6B8D">
        <w:rPr>
          <w:rFonts w:cs="Times New Roman"/>
          <w:bCs/>
          <w:sz w:val="24"/>
          <w:szCs w:val="24"/>
        </w:rPr>
        <w:t xml:space="preserve">hukum melalui interpretasi dari pernyataan Rasul dan kemudian pada akhirnya menyatakan persetujuannya dalam bentuk </w:t>
      </w:r>
      <w:r w:rsidRPr="003C6B8D">
        <w:rPr>
          <w:rFonts w:cs="Times New Roman"/>
          <w:bCs/>
          <w:i/>
          <w:iCs/>
          <w:sz w:val="24"/>
          <w:szCs w:val="24"/>
        </w:rPr>
        <w:t>taqrīr</w:t>
      </w:r>
      <w:r w:rsidRPr="003C6B8D">
        <w:rPr>
          <w:rFonts w:cs="Times New Roman"/>
          <w:bCs/>
          <w:sz w:val="24"/>
          <w:szCs w:val="24"/>
        </w:rPr>
        <w:t>.</w:t>
      </w:r>
      <w:r w:rsidRPr="003C6B8D">
        <w:rPr>
          <w:rFonts w:cs="Times New Roman"/>
          <w:sz w:val="24"/>
          <w:szCs w:val="24"/>
        </w:rPr>
        <w:t xml:space="preserve">    </w:t>
      </w:r>
    </w:p>
    <w:p w:rsidR="00697881" w:rsidRPr="003C6B8D" w:rsidRDefault="00564048" w:rsidP="000D02F5">
      <w:pPr>
        <w:pStyle w:val="ListParagraph"/>
        <w:spacing w:line="360" w:lineRule="auto"/>
        <w:ind w:left="284"/>
        <w:jc w:val="both"/>
        <w:rPr>
          <w:rFonts w:ascii="Times New Roman" w:hAnsi="Times New Roman" w:cs="Times New Roman"/>
          <w:b/>
          <w:bCs/>
          <w:iCs/>
          <w:sz w:val="24"/>
          <w:szCs w:val="24"/>
        </w:rPr>
      </w:pPr>
      <w:r w:rsidRPr="003C6B8D">
        <w:rPr>
          <w:rFonts w:ascii="Times New Roman" w:hAnsi="Times New Roman" w:cs="Times New Roman"/>
          <w:b/>
          <w:bCs/>
          <w:iCs/>
          <w:sz w:val="24"/>
          <w:szCs w:val="24"/>
        </w:rPr>
        <w:t xml:space="preserve">Kesimpulan </w:t>
      </w:r>
    </w:p>
    <w:p w:rsidR="007D2DC2" w:rsidRDefault="006A6BA4" w:rsidP="000D02F5">
      <w:pPr>
        <w:pStyle w:val="ListParagraph"/>
        <w:spacing w:line="360" w:lineRule="auto"/>
        <w:ind w:left="0" w:firstLine="786"/>
        <w:jc w:val="both"/>
        <w:rPr>
          <w:rFonts w:ascii="Times New Roman" w:hAnsi="Times New Roman" w:cs="Times New Roman"/>
          <w:sz w:val="24"/>
          <w:szCs w:val="24"/>
          <w:lang w:val="id-ID"/>
        </w:rPr>
      </w:pPr>
      <w:r w:rsidRPr="003C6B8D">
        <w:rPr>
          <w:rFonts w:ascii="Times New Roman" w:hAnsi="Times New Roman" w:cs="Times New Roman"/>
          <w:sz w:val="24"/>
          <w:szCs w:val="24"/>
        </w:rPr>
        <w:t>Berdasarkan uraia</w:t>
      </w:r>
      <w:r w:rsidR="00697881" w:rsidRPr="003C6B8D">
        <w:rPr>
          <w:rFonts w:ascii="Times New Roman" w:hAnsi="Times New Roman" w:cs="Times New Roman"/>
          <w:sz w:val="24"/>
          <w:szCs w:val="24"/>
        </w:rPr>
        <w:t>n tentang teori maslahat Imam Mā</w:t>
      </w:r>
      <w:r w:rsidRPr="003C6B8D">
        <w:rPr>
          <w:rFonts w:ascii="Times New Roman" w:hAnsi="Times New Roman" w:cs="Times New Roman"/>
          <w:sz w:val="24"/>
          <w:szCs w:val="24"/>
        </w:rPr>
        <w:t>lik</w:t>
      </w:r>
      <w:r w:rsidR="007D2DC2">
        <w:rPr>
          <w:rFonts w:ascii="Times New Roman" w:hAnsi="Times New Roman" w:cs="Times New Roman"/>
          <w:sz w:val="24"/>
          <w:szCs w:val="24"/>
          <w:lang w:val="id-ID"/>
        </w:rPr>
        <w:t>, Imam Al Ghazali dan Imam Al Tufiy</w:t>
      </w:r>
      <w:r w:rsidRPr="003C6B8D">
        <w:rPr>
          <w:rFonts w:ascii="Times New Roman" w:hAnsi="Times New Roman" w:cs="Times New Roman"/>
          <w:sz w:val="24"/>
          <w:szCs w:val="24"/>
        </w:rPr>
        <w:t xml:space="preserve"> di atas dan kehujjaan penerapan maslahat mursalah serta urgensi penerapannya di masa sekarang, maka kesimpulan yang dapat ditarik dalam makalah ini adalah;</w:t>
      </w:r>
    </w:p>
    <w:p w:rsidR="007D2DC2" w:rsidRDefault="006A6BA4" w:rsidP="000D02F5">
      <w:pPr>
        <w:pStyle w:val="ListParagraph"/>
        <w:spacing w:line="360" w:lineRule="auto"/>
        <w:ind w:left="0" w:firstLine="786"/>
        <w:jc w:val="both"/>
        <w:rPr>
          <w:rFonts w:ascii="Times New Roman" w:hAnsi="Times New Roman" w:cs="Times New Roman"/>
          <w:sz w:val="24"/>
          <w:szCs w:val="24"/>
          <w:lang w:val="id-ID"/>
        </w:rPr>
      </w:pPr>
      <w:r w:rsidRPr="007D2DC2">
        <w:rPr>
          <w:rFonts w:ascii="Times New Roman" w:hAnsi="Times New Roman" w:cs="Times New Roman"/>
          <w:sz w:val="24"/>
          <w:szCs w:val="24"/>
        </w:rPr>
        <w:t>Konsep maslahat yang dijadikan metode ijtihad Imam M</w:t>
      </w:r>
      <w:r w:rsidR="00697881" w:rsidRPr="007D2DC2">
        <w:rPr>
          <w:rFonts w:ascii="Times New Roman" w:hAnsi="Times New Roman" w:cs="Times New Roman"/>
          <w:sz w:val="24"/>
          <w:szCs w:val="24"/>
        </w:rPr>
        <w:t>ā</w:t>
      </w:r>
      <w:r w:rsidRPr="007D2DC2">
        <w:rPr>
          <w:rFonts w:ascii="Times New Roman" w:hAnsi="Times New Roman" w:cs="Times New Roman"/>
          <w:sz w:val="24"/>
          <w:szCs w:val="24"/>
        </w:rPr>
        <w:t>lik dan para pengikutnya adal</w:t>
      </w:r>
      <w:r w:rsidR="000B7CAD" w:rsidRPr="007D2DC2">
        <w:rPr>
          <w:rFonts w:ascii="Times New Roman" w:hAnsi="Times New Roman" w:cs="Times New Roman"/>
          <w:sz w:val="24"/>
          <w:szCs w:val="24"/>
        </w:rPr>
        <w:t>ah maslahat mursalah. Golongan M</w:t>
      </w:r>
      <w:r w:rsidR="00697881" w:rsidRPr="007D2DC2">
        <w:rPr>
          <w:rFonts w:ascii="Times New Roman" w:hAnsi="Times New Roman" w:cs="Times New Roman"/>
          <w:sz w:val="24"/>
          <w:szCs w:val="24"/>
        </w:rPr>
        <w:t>alikī</w:t>
      </w:r>
      <w:r w:rsidRPr="007D2DC2">
        <w:rPr>
          <w:rFonts w:ascii="Times New Roman" w:hAnsi="Times New Roman" w:cs="Times New Roman"/>
          <w:sz w:val="24"/>
          <w:szCs w:val="24"/>
        </w:rPr>
        <w:t xml:space="preserve"> inilah yang kemudian dikenal sebagai pembawa bendera maslahat mursalah</w:t>
      </w:r>
      <w:r w:rsidR="007D2DC2">
        <w:rPr>
          <w:rFonts w:ascii="Times New Roman" w:hAnsi="Times New Roman" w:cs="Times New Roman"/>
          <w:sz w:val="24"/>
          <w:szCs w:val="24"/>
          <w:lang w:val="id-ID"/>
        </w:rPr>
        <w:t xml:space="preserve">. </w:t>
      </w:r>
      <w:r w:rsidRPr="007D2DC2">
        <w:rPr>
          <w:rFonts w:ascii="Times New Roman" w:hAnsi="Times New Roman" w:cs="Times New Roman"/>
          <w:sz w:val="24"/>
          <w:szCs w:val="24"/>
        </w:rPr>
        <w:t>Kehujjaan maslahat mursalah sebagai dalil hukum</w:t>
      </w:r>
      <w:r w:rsidR="00DB0C29" w:rsidRPr="007D2DC2">
        <w:rPr>
          <w:rFonts w:ascii="Times New Roman" w:hAnsi="Times New Roman" w:cs="Times New Roman"/>
          <w:sz w:val="24"/>
          <w:szCs w:val="24"/>
        </w:rPr>
        <w:t xml:space="preserve"> (prodak hukum)</w:t>
      </w:r>
      <w:r w:rsidRPr="007D2DC2">
        <w:rPr>
          <w:rFonts w:ascii="Times New Roman" w:hAnsi="Times New Roman" w:cs="Times New Roman"/>
          <w:sz w:val="24"/>
          <w:szCs w:val="24"/>
        </w:rPr>
        <w:t xml:space="preserve"> sangat fundamental dan mendasar k</w:t>
      </w:r>
      <w:r w:rsidR="00AD2CA8" w:rsidRPr="007D2DC2">
        <w:rPr>
          <w:rFonts w:ascii="Times New Roman" w:hAnsi="Times New Roman" w:cs="Times New Roman"/>
          <w:sz w:val="24"/>
          <w:szCs w:val="24"/>
        </w:rPr>
        <w:t>arena dengan maslahat mursalah, kesempurnaan dan kemampuan syari’at dapat dibuktikan berdasarkan prinsip-prinsip</w:t>
      </w:r>
      <w:r w:rsidRPr="007D2DC2">
        <w:rPr>
          <w:rFonts w:ascii="Times New Roman" w:hAnsi="Times New Roman" w:cs="Times New Roman"/>
          <w:sz w:val="24"/>
          <w:szCs w:val="24"/>
        </w:rPr>
        <w:t xml:space="preserve"> </w:t>
      </w:r>
      <w:r w:rsidR="00AD2CA8" w:rsidRPr="007D2DC2">
        <w:rPr>
          <w:rFonts w:ascii="Times New Roman" w:hAnsi="Times New Roman" w:cs="Times New Roman"/>
          <w:sz w:val="24"/>
          <w:szCs w:val="24"/>
        </w:rPr>
        <w:t>umum syari’at Islam.</w:t>
      </w:r>
      <w:r w:rsidR="00697881" w:rsidRPr="007D2DC2">
        <w:rPr>
          <w:rFonts w:ascii="Times New Roman" w:hAnsi="Times New Roman" w:cs="Times New Roman"/>
          <w:sz w:val="24"/>
          <w:szCs w:val="24"/>
        </w:rPr>
        <w:t xml:space="preserve"> </w:t>
      </w:r>
      <w:r w:rsidR="00AD2CA8" w:rsidRPr="007D2DC2">
        <w:rPr>
          <w:rFonts w:ascii="Times New Roman" w:hAnsi="Times New Roman" w:cs="Times New Roman"/>
          <w:sz w:val="24"/>
          <w:szCs w:val="24"/>
        </w:rPr>
        <w:t xml:space="preserve">Urgensi penerapan maslahat mursalah dewasa ini sangat penting karena metode ini sesuai dan sejalan </w:t>
      </w:r>
      <w:r w:rsidR="000D6960" w:rsidRPr="007D2DC2">
        <w:rPr>
          <w:rFonts w:ascii="Times New Roman" w:hAnsi="Times New Roman" w:cs="Times New Roman"/>
          <w:sz w:val="24"/>
          <w:szCs w:val="24"/>
        </w:rPr>
        <w:t>dengan konsep maqā</w:t>
      </w:r>
      <w:r w:rsidR="00AD2CA8" w:rsidRPr="007D2DC2">
        <w:rPr>
          <w:rFonts w:ascii="Times New Roman" w:hAnsi="Times New Roman" w:cs="Times New Roman"/>
          <w:sz w:val="24"/>
          <w:szCs w:val="24"/>
        </w:rPr>
        <w:t>shid syari’ah dalam membuktikan maksud Tuhan mengadakan hukum bagi manusia.</w:t>
      </w:r>
    </w:p>
    <w:p w:rsidR="007D2DC2" w:rsidRDefault="007D2DC2" w:rsidP="000D02F5">
      <w:pPr>
        <w:pStyle w:val="ListParagraph"/>
        <w:spacing w:line="360" w:lineRule="auto"/>
        <w:ind w:left="0" w:firstLine="786"/>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Pr="000F30FF">
        <w:rPr>
          <w:rFonts w:ascii="Times New Roman" w:hAnsi="Times New Roman" w:cs="Times New Roman"/>
          <w:sz w:val="24"/>
          <w:szCs w:val="24"/>
        </w:rPr>
        <w:t>onsep maslahah Imam al-Ghazali adalah sebagai berikut:</w:t>
      </w:r>
      <w:r>
        <w:rPr>
          <w:rFonts w:ascii="Times New Roman" w:hAnsi="Times New Roman" w:cs="Times New Roman"/>
          <w:sz w:val="24"/>
          <w:szCs w:val="24"/>
          <w:lang w:val="id-ID"/>
        </w:rPr>
        <w:t xml:space="preserve"> </w:t>
      </w:r>
      <w:r w:rsidRPr="007D2DC2">
        <w:rPr>
          <w:rFonts w:ascii="Times New Roman" w:hAnsi="Times New Roman" w:cs="Times New Roman"/>
          <w:sz w:val="24"/>
          <w:szCs w:val="24"/>
        </w:rPr>
        <w:t>Sekalipun corak pemikiran al-Ghazali sangat terikat dengan wahyu, tetapi ia tetap memberi peranan pada akal karena persoalan hidup manusia akan tetap bertambah, sementara wahyu bersifat informatif pada akal.</w:t>
      </w:r>
      <w:r>
        <w:rPr>
          <w:rFonts w:ascii="Times New Roman" w:hAnsi="Times New Roman" w:cs="Times New Roman"/>
          <w:sz w:val="24"/>
          <w:szCs w:val="24"/>
          <w:lang w:val="id-ID"/>
        </w:rPr>
        <w:t xml:space="preserve"> </w:t>
      </w:r>
      <w:r w:rsidRPr="007D2DC2">
        <w:rPr>
          <w:rFonts w:ascii="Times New Roman" w:hAnsi="Times New Roman" w:cs="Times New Roman"/>
          <w:sz w:val="24"/>
          <w:szCs w:val="24"/>
        </w:rPr>
        <w:t xml:space="preserve">Maslahah tidak menjadi bagian dari empat landasan </w:t>
      </w:r>
      <w:r w:rsidRPr="007D2DC2">
        <w:rPr>
          <w:rFonts w:ascii="Times New Roman" w:hAnsi="Times New Roman" w:cs="Times New Roman"/>
          <w:sz w:val="24"/>
          <w:szCs w:val="24"/>
        </w:rPr>
        <w:lastRenderedPageBreak/>
        <w:t>hukum yaitu al-Qur’an, al-Hadis, ijma dan akal. Maslahah hanya sebagai pelengkap dari keempat landasan tersebut dan ia menempatkan maslahah di bawah qiyas</w:t>
      </w:r>
      <w:r>
        <w:rPr>
          <w:rFonts w:ascii="Times New Roman" w:hAnsi="Times New Roman" w:cs="Times New Roman"/>
          <w:sz w:val="24"/>
          <w:szCs w:val="24"/>
          <w:lang w:val="id-ID"/>
        </w:rPr>
        <w:t>.</w:t>
      </w:r>
    </w:p>
    <w:p w:rsidR="007D2DC2" w:rsidRPr="007D2DC2" w:rsidRDefault="007D2DC2" w:rsidP="000D02F5">
      <w:pPr>
        <w:pStyle w:val="ListParagraph"/>
        <w:spacing w:line="360" w:lineRule="auto"/>
        <w:ind w:left="0" w:firstLine="786"/>
        <w:jc w:val="both"/>
        <w:rPr>
          <w:rFonts w:ascii="Times New Roman" w:hAnsi="Times New Roman" w:cs="Times New Roman"/>
          <w:sz w:val="24"/>
          <w:szCs w:val="24"/>
          <w:lang w:val="id-ID"/>
        </w:rPr>
      </w:pPr>
      <w:r w:rsidRPr="007D2DC2">
        <w:rPr>
          <w:rFonts w:ascii="Times New Roman" w:hAnsi="Times New Roman" w:cs="Times New Roman"/>
          <w:sz w:val="24"/>
          <w:szCs w:val="24"/>
        </w:rPr>
        <w:t xml:space="preserve">Al-Ṭūfīy merupakan figur pemikir muslim kelahiran Ṭūfa sekitar tahun 675 H (1276 M), wafat di Palestina pada tahun 716 H (1316 M). Ia adalah figur yang berani melawan </w:t>
      </w:r>
      <w:r w:rsidRPr="007D2DC2">
        <w:rPr>
          <w:rFonts w:ascii="Times New Roman" w:hAnsi="Times New Roman" w:cs="Times New Roman"/>
          <w:i/>
          <w:iCs/>
          <w:sz w:val="24"/>
          <w:szCs w:val="24"/>
        </w:rPr>
        <w:t xml:space="preserve">mainstream </w:t>
      </w:r>
      <w:r w:rsidRPr="007D2DC2">
        <w:rPr>
          <w:rFonts w:ascii="Times New Roman" w:hAnsi="Times New Roman" w:cs="Times New Roman"/>
          <w:sz w:val="24"/>
          <w:szCs w:val="24"/>
        </w:rPr>
        <w:t xml:space="preserve">pemikiran kala itu. </w:t>
      </w:r>
      <w:r w:rsidRPr="007D2DC2">
        <w:rPr>
          <w:rFonts w:ascii="Times New Roman" w:hAnsi="Times New Roman" w:cs="Times New Roman"/>
          <w:i/>
          <w:iCs/>
          <w:sz w:val="24"/>
          <w:szCs w:val="24"/>
        </w:rPr>
        <w:t>Maṣlaḥat</w:t>
      </w:r>
      <w:r w:rsidRPr="007D2DC2">
        <w:rPr>
          <w:rFonts w:ascii="Times New Roman" w:hAnsi="Times New Roman" w:cs="Times New Roman"/>
          <w:sz w:val="24"/>
          <w:szCs w:val="24"/>
        </w:rPr>
        <w:t xml:space="preserve"> dalam pandangan  al-Ṭūfīy merupakan </w:t>
      </w:r>
      <w:r w:rsidRPr="007D2DC2">
        <w:rPr>
          <w:rFonts w:ascii="Times New Roman" w:hAnsi="Times New Roman" w:cs="Times New Roman"/>
          <w:i/>
          <w:iCs/>
          <w:sz w:val="24"/>
          <w:szCs w:val="24"/>
        </w:rPr>
        <w:t xml:space="preserve">quṭb maqāṣid al-syarī’ah </w:t>
      </w:r>
      <w:r w:rsidRPr="007D2DC2">
        <w:rPr>
          <w:rFonts w:ascii="Times New Roman" w:hAnsi="Times New Roman" w:cs="Times New Roman"/>
          <w:sz w:val="24"/>
          <w:szCs w:val="24"/>
        </w:rPr>
        <w:t xml:space="preserve"> sehingga dengan demikian, posisi </w:t>
      </w:r>
      <w:r w:rsidRPr="007D2DC2">
        <w:rPr>
          <w:rFonts w:ascii="Times New Roman" w:hAnsi="Times New Roman" w:cs="Times New Roman"/>
          <w:i/>
          <w:iCs/>
          <w:sz w:val="24"/>
          <w:szCs w:val="24"/>
        </w:rPr>
        <w:t xml:space="preserve">maṣlaḥat </w:t>
      </w:r>
      <w:r w:rsidRPr="007D2DC2">
        <w:rPr>
          <w:rFonts w:ascii="Times New Roman" w:hAnsi="Times New Roman" w:cs="Times New Roman"/>
          <w:sz w:val="24"/>
          <w:szCs w:val="24"/>
        </w:rPr>
        <w:t xml:space="preserve">menjadi lebih utama dan jika kemudian </w:t>
      </w:r>
      <w:r w:rsidRPr="007D2DC2">
        <w:rPr>
          <w:rFonts w:ascii="Times New Roman" w:hAnsi="Times New Roman" w:cs="Times New Roman"/>
          <w:i/>
          <w:iCs/>
          <w:sz w:val="24"/>
          <w:szCs w:val="24"/>
        </w:rPr>
        <w:t xml:space="preserve">maṣlaḥat </w:t>
      </w:r>
      <w:r w:rsidRPr="007D2DC2">
        <w:rPr>
          <w:rFonts w:ascii="Times New Roman" w:hAnsi="Times New Roman" w:cs="Times New Roman"/>
          <w:sz w:val="24"/>
          <w:szCs w:val="24"/>
        </w:rPr>
        <w:t xml:space="preserve">mengalami benturan dengan </w:t>
      </w:r>
      <w:r w:rsidRPr="007D2DC2">
        <w:rPr>
          <w:rFonts w:ascii="Times New Roman" w:hAnsi="Times New Roman" w:cs="Times New Roman"/>
          <w:i/>
          <w:iCs/>
          <w:sz w:val="24"/>
          <w:szCs w:val="24"/>
        </w:rPr>
        <w:t xml:space="preserve">naṣ </w:t>
      </w:r>
      <w:r w:rsidRPr="007D2DC2">
        <w:rPr>
          <w:rFonts w:ascii="Times New Roman" w:hAnsi="Times New Roman" w:cs="Times New Roman"/>
          <w:sz w:val="24"/>
          <w:szCs w:val="24"/>
        </w:rPr>
        <w:t xml:space="preserve">atau </w:t>
      </w:r>
      <w:r w:rsidRPr="007D2DC2">
        <w:rPr>
          <w:rFonts w:ascii="Times New Roman" w:hAnsi="Times New Roman" w:cs="Times New Roman"/>
          <w:i/>
          <w:iCs/>
          <w:sz w:val="24"/>
          <w:szCs w:val="24"/>
        </w:rPr>
        <w:t xml:space="preserve">ijma’ </w:t>
      </w:r>
      <w:r w:rsidRPr="007D2DC2">
        <w:rPr>
          <w:rFonts w:ascii="Times New Roman" w:hAnsi="Times New Roman" w:cs="Times New Roman"/>
          <w:sz w:val="24"/>
          <w:szCs w:val="24"/>
        </w:rPr>
        <w:t xml:space="preserve"> maka </w:t>
      </w:r>
      <w:r w:rsidRPr="007D2DC2">
        <w:rPr>
          <w:rFonts w:ascii="Times New Roman" w:hAnsi="Times New Roman" w:cs="Times New Roman"/>
          <w:i/>
          <w:iCs/>
          <w:sz w:val="24"/>
          <w:szCs w:val="24"/>
        </w:rPr>
        <w:t xml:space="preserve">maṣlaḥat </w:t>
      </w:r>
      <w:r w:rsidRPr="007D2DC2">
        <w:rPr>
          <w:rFonts w:ascii="Times New Roman" w:hAnsi="Times New Roman" w:cs="Times New Roman"/>
          <w:sz w:val="24"/>
          <w:szCs w:val="24"/>
        </w:rPr>
        <w:t xml:space="preserve"> mutlak diprioritaskan. al-Ṭūfīy menolak eksistensi </w:t>
      </w:r>
      <w:r w:rsidRPr="007D2DC2">
        <w:rPr>
          <w:rFonts w:ascii="Times New Roman" w:hAnsi="Times New Roman" w:cs="Times New Roman"/>
          <w:i/>
          <w:iCs/>
          <w:sz w:val="24"/>
          <w:szCs w:val="24"/>
        </w:rPr>
        <w:t xml:space="preserve">ijma’ </w:t>
      </w:r>
      <w:r w:rsidRPr="007D2DC2">
        <w:rPr>
          <w:rFonts w:ascii="Times New Roman" w:hAnsi="Times New Roman" w:cs="Times New Roman"/>
          <w:sz w:val="24"/>
          <w:szCs w:val="24"/>
        </w:rPr>
        <w:t xml:space="preserve">yang menurutnya sangat nisbi terjadi, lebih jauh lagi argumentasi hadis yang menjadi landasan daripada </w:t>
      </w:r>
      <w:r w:rsidRPr="007D2DC2">
        <w:rPr>
          <w:rFonts w:ascii="Times New Roman" w:hAnsi="Times New Roman" w:cs="Times New Roman"/>
          <w:i/>
          <w:iCs/>
          <w:sz w:val="24"/>
          <w:szCs w:val="24"/>
        </w:rPr>
        <w:t xml:space="preserve">ijma’ </w:t>
      </w:r>
      <w:r w:rsidRPr="007D2DC2">
        <w:rPr>
          <w:rFonts w:ascii="Times New Roman" w:hAnsi="Times New Roman" w:cs="Times New Roman"/>
          <w:sz w:val="24"/>
          <w:szCs w:val="24"/>
        </w:rPr>
        <w:t xml:space="preserve">adalah dalil yang tidak mencapai derajat </w:t>
      </w:r>
      <w:r w:rsidRPr="007D2DC2">
        <w:rPr>
          <w:rFonts w:ascii="Times New Roman" w:hAnsi="Times New Roman" w:cs="Times New Roman"/>
          <w:i/>
          <w:iCs/>
          <w:sz w:val="24"/>
          <w:szCs w:val="24"/>
        </w:rPr>
        <w:t xml:space="preserve">mutawātir </w:t>
      </w:r>
      <w:r w:rsidRPr="007D2DC2">
        <w:rPr>
          <w:rFonts w:ascii="Times New Roman" w:hAnsi="Times New Roman" w:cs="Times New Roman"/>
          <w:sz w:val="24"/>
          <w:szCs w:val="24"/>
        </w:rPr>
        <w:t xml:space="preserve"> dan bertentangan dengan hadis lainnya.</w:t>
      </w:r>
    </w:p>
    <w:p w:rsidR="00D1513E" w:rsidRPr="00E817F6" w:rsidRDefault="00D1513E" w:rsidP="000D02F5">
      <w:pPr>
        <w:spacing w:line="360" w:lineRule="auto"/>
        <w:rPr>
          <w:rFonts w:ascii="Times New Roman" w:hAnsi="Times New Roman" w:cs="Times New Roman"/>
          <w:b/>
          <w:bCs/>
          <w:sz w:val="24"/>
          <w:szCs w:val="24"/>
          <w:lang w:val="id-ID"/>
        </w:rPr>
      </w:pPr>
    </w:p>
    <w:p w:rsidR="00D1513E" w:rsidRPr="003B338A" w:rsidRDefault="00697881" w:rsidP="000D02F5">
      <w:pPr>
        <w:spacing w:line="360" w:lineRule="auto"/>
        <w:rPr>
          <w:rFonts w:ascii="Times New Roman" w:hAnsi="Times New Roman" w:cs="Times New Roman"/>
          <w:b/>
          <w:bCs/>
          <w:sz w:val="24"/>
          <w:szCs w:val="24"/>
          <w:lang w:val="id-ID"/>
        </w:rPr>
      </w:pPr>
      <w:r w:rsidRPr="003C6B8D">
        <w:rPr>
          <w:rFonts w:ascii="Times New Roman" w:hAnsi="Times New Roman" w:cs="Times New Roman"/>
          <w:b/>
          <w:bCs/>
          <w:sz w:val="24"/>
          <w:szCs w:val="24"/>
        </w:rPr>
        <w:t>D</w:t>
      </w:r>
      <w:r w:rsidR="0098573D" w:rsidRPr="003C6B8D">
        <w:rPr>
          <w:rFonts w:ascii="Times New Roman" w:hAnsi="Times New Roman" w:cs="Times New Roman"/>
          <w:b/>
          <w:bCs/>
          <w:sz w:val="24"/>
          <w:szCs w:val="24"/>
        </w:rPr>
        <w:t>AFTAR PUSTAKA</w:t>
      </w:r>
      <w:r w:rsidR="003B338A">
        <w:rPr>
          <w:rFonts w:ascii="Times New Roman" w:hAnsi="Times New Roman" w:cs="Times New Roman"/>
          <w:b/>
          <w:bCs/>
          <w:sz w:val="24"/>
          <w:szCs w:val="24"/>
          <w:lang w:val="id-ID"/>
        </w:rPr>
        <w:t>.</w:t>
      </w:r>
    </w:p>
    <w:p w:rsidR="003B338A" w:rsidRPr="003B338A" w:rsidRDefault="00D1513E" w:rsidP="000D02F5">
      <w:pPr>
        <w:pStyle w:val="FootnoteText"/>
        <w:spacing w:line="360" w:lineRule="auto"/>
        <w:ind w:left="567" w:hanging="567"/>
        <w:jc w:val="both"/>
        <w:rPr>
          <w:rFonts w:ascii="Times New Roman" w:eastAsia="Times New Roman" w:hAnsi="Times New Roman" w:cs="Times New Roman"/>
          <w:sz w:val="24"/>
          <w:szCs w:val="24"/>
          <w:lang w:val="id-ID"/>
        </w:rPr>
      </w:pPr>
      <w:r w:rsidRPr="00513B1D">
        <w:rPr>
          <w:rFonts w:ascii="Times New Roman" w:eastAsia="Times New Roman" w:hAnsi="Times New Roman" w:cs="Times New Roman"/>
          <w:sz w:val="24"/>
          <w:szCs w:val="24"/>
        </w:rPr>
        <w:t xml:space="preserve">Abd al-Wahhab Khallaf, </w:t>
      </w:r>
      <w:r w:rsidRPr="00513B1D">
        <w:rPr>
          <w:rFonts w:ascii="Times New Roman" w:eastAsia="Times New Roman" w:hAnsi="Times New Roman" w:cs="Times New Roman"/>
          <w:i/>
          <w:iCs/>
          <w:sz w:val="24"/>
          <w:szCs w:val="24"/>
        </w:rPr>
        <w:t>Mashadir al-Tasyrî‘ al-Islami fî Ma La Nash Fîh</w:t>
      </w:r>
      <w:r w:rsidRPr="00513B1D">
        <w:rPr>
          <w:rFonts w:ascii="Times New Roman" w:eastAsia="Times New Roman" w:hAnsi="Times New Roman" w:cs="Times New Roman"/>
          <w:sz w:val="24"/>
          <w:szCs w:val="24"/>
        </w:rPr>
        <w:t xml:space="preserve"> (Cet. VI; Kuwait: Dar al-Qolam </w:t>
      </w:r>
      <w:r>
        <w:rPr>
          <w:rFonts w:ascii="Times New Roman" w:eastAsia="Times New Roman" w:hAnsi="Times New Roman" w:cs="Times New Roman"/>
          <w:sz w:val="24"/>
          <w:szCs w:val="24"/>
        </w:rPr>
        <w:t>li al-Nasyr wa al-Tawzi’, 1993)</w:t>
      </w:r>
    </w:p>
    <w:p w:rsidR="003B338A"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Abdu Aziz ibn Abdurrahman ibn Ali al-Rabiyah, </w:t>
      </w:r>
      <w:r w:rsidRPr="00513B1D">
        <w:rPr>
          <w:rFonts w:ascii="Times New Roman" w:hAnsi="Times New Roman" w:cs="Times New Roman"/>
          <w:i/>
          <w:iCs/>
          <w:sz w:val="24"/>
          <w:szCs w:val="24"/>
        </w:rPr>
        <w:t xml:space="preserve">Adillat al-Tasyri al-Mukhtalaf fi al-Ihtijaj Biha </w:t>
      </w:r>
      <w:r w:rsidRPr="00513B1D">
        <w:rPr>
          <w:rFonts w:ascii="Times New Roman" w:hAnsi="Times New Roman" w:cs="Times New Roman"/>
          <w:sz w:val="24"/>
          <w:szCs w:val="24"/>
        </w:rPr>
        <w:t>(Cet. 1; tt: Muass</w:t>
      </w:r>
      <w:r>
        <w:rPr>
          <w:rFonts w:ascii="Times New Roman" w:hAnsi="Times New Roman" w:cs="Times New Roman"/>
          <w:sz w:val="24"/>
          <w:szCs w:val="24"/>
        </w:rPr>
        <w:t>asat al-Risalat, 1979)</w:t>
      </w:r>
      <w:r>
        <w:rPr>
          <w:rFonts w:ascii="Times New Roman" w:hAnsi="Times New Roman" w:cs="Times New Roman"/>
          <w:sz w:val="24"/>
          <w:szCs w:val="24"/>
          <w:lang w:val="id-ID"/>
        </w:rPr>
        <w:t>.</w:t>
      </w:r>
    </w:p>
    <w:p w:rsidR="003B338A" w:rsidRPr="003B338A"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Abdul Wahab Khallāf, </w:t>
      </w:r>
      <w:r w:rsidRPr="00513B1D">
        <w:rPr>
          <w:rFonts w:ascii="Times New Roman" w:hAnsi="Times New Roman" w:cs="Times New Roman"/>
          <w:i/>
          <w:iCs/>
          <w:sz w:val="24"/>
          <w:szCs w:val="24"/>
        </w:rPr>
        <w:t xml:space="preserve">Sumber-sumber Hukum Islam. </w:t>
      </w:r>
      <w:r w:rsidRPr="00513B1D">
        <w:rPr>
          <w:rFonts w:ascii="Times New Roman" w:hAnsi="Times New Roman" w:cs="Times New Roman"/>
          <w:sz w:val="24"/>
          <w:szCs w:val="24"/>
        </w:rPr>
        <w:t xml:space="preserve">Diterjemahkan oleh Anwar Rasyidi dari Masādiru al-Tasyri al-Islāmī Fi Ma Lassa Fīhi (Cet. III; </w:t>
      </w:r>
      <w:r>
        <w:rPr>
          <w:rFonts w:ascii="Times New Roman" w:hAnsi="Times New Roman" w:cs="Times New Roman"/>
          <w:sz w:val="24"/>
          <w:szCs w:val="24"/>
        </w:rPr>
        <w:t>Bandung: Risalah, 1984)</w:t>
      </w:r>
      <w:r w:rsidR="003B338A">
        <w:rPr>
          <w:rFonts w:ascii="Times New Roman" w:hAnsi="Times New Roman" w:cs="Times New Roman"/>
          <w:sz w:val="24"/>
          <w:szCs w:val="24"/>
          <w:lang w:val="id-ID"/>
        </w:rPr>
        <w:t>.</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Abi Hamid Muhammad bin Muhammad al-Ghazali, </w:t>
      </w:r>
      <w:r w:rsidRPr="00513B1D">
        <w:rPr>
          <w:rFonts w:ascii="Times New Roman" w:hAnsi="Times New Roman" w:cs="Times New Roman"/>
          <w:i/>
          <w:iCs/>
          <w:sz w:val="24"/>
          <w:szCs w:val="24"/>
        </w:rPr>
        <w:t>al-Mustasfa’ Min Ilmi al-Ushul.</w:t>
      </w:r>
      <w:r w:rsidRPr="00513B1D">
        <w:rPr>
          <w:rFonts w:ascii="Times New Roman" w:hAnsi="Times New Roman" w:cs="Times New Roman"/>
          <w:sz w:val="24"/>
          <w:szCs w:val="24"/>
        </w:rPr>
        <w:t xml:space="preserve"> Jilid 1 (tp : </w:t>
      </w:r>
      <w:r>
        <w:rPr>
          <w:rFonts w:ascii="Times New Roman" w:hAnsi="Times New Roman" w:cs="Times New Roman"/>
          <w:sz w:val="24"/>
          <w:szCs w:val="24"/>
        </w:rPr>
        <w:t>Dar al-Fikr, t. th)</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Abi Ishaq al-Syatibi, </w:t>
      </w:r>
      <w:r w:rsidRPr="00513B1D">
        <w:rPr>
          <w:rFonts w:ascii="Times New Roman" w:hAnsi="Times New Roman" w:cs="Times New Roman"/>
          <w:i/>
          <w:iCs/>
          <w:sz w:val="24"/>
          <w:szCs w:val="24"/>
        </w:rPr>
        <w:t xml:space="preserve">Al-Muwafaqat Fi Ushul al-Syari’ah. </w:t>
      </w:r>
      <w:r w:rsidRPr="00513B1D">
        <w:rPr>
          <w:rFonts w:ascii="Times New Roman" w:hAnsi="Times New Roman" w:cs="Times New Roman"/>
          <w:sz w:val="24"/>
          <w:szCs w:val="24"/>
        </w:rPr>
        <w:t>Jilid I</w:t>
      </w:r>
      <w:r>
        <w:rPr>
          <w:rFonts w:ascii="Times New Roman" w:hAnsi="Times New Roman" w:cs="Times New Roman"/>
          <w:sz w:val="24"/>
          <w:szCs w:val="24"/>
        </w:rPr>
        <w:t>I (Beirut: Lubnan, tt)</w:t>
      </w:r>
      <w:r w:rsidRPr="00513B1D">
        <w:rPr>
          <w:rFonts w:ascii="Times New Roman" w:hAnsi="Times New Roman" w:cs="Times New Roman"/>
          <w:sz w:val="24"/>
          <w:szCs w:val="24"/>
        </w:rPr>
        <w:t xml:space="preserve"> </w:t>
      </w:r>
    </w:p>
    <w:p w:rsidR="00D1513E" w:rsidRPr="00513B1D" w:rsidRDefault="00D1513E" w:rsidP="000D02F5">
      <w:pPr>
        <w:pStyle w:val="CatatanKaki"/>
        <w:spacing w:line="360" w:lineRule="auto"/>
        <w:ind w:left="567" w:hanging="567"/>
        <w:jc w:val="both"/>
        <w:rPr>
          <w:rFonts w:cs="Times New Roman"/>
          <w:sz w:val="24"/>
          <w:szCs w:val="24"/>
          <w:lang w:val="id-ID"/>
        </w:rPr>
      </w:pPr>
      <w:r w:rsidRPr="00513B1D">
        <w:rPr>
          <w:rFonts w:cs="Times New Roman"/>
          <w:sz w:val="24"/>
          <w:szCs w:val="24"/>
        </w:rPr>
        <w:t xml:space="preserve">Abu Yazid, </w:t>
      </w:r>
      <w:r w:rsidRPr="00513B1D">
        <w:rPr>
          <w:rFonts w:cs="Times New Roman"/>
          <w:i/>
          <w:iCs/>
          <w:sz w:val="24"/>
          <w:szCs w:val="24"/>
        </w:rPr>
        <w:t xml:space="preserve">Islam Akomodatif, Rekonstruksi Pemahaman Islam sebagai Agama Universal </w:t>
      </w:r>
      <w:r w:rsidRPr="00513B1D">
        <w:rPr>
          <w:rFonts w:cs="Times New Roman"/>
          <w:sz w:val="24"/>
          <w:szCs w:val="24"/>
        </w:rPr>
        <w:t>(Cet. I;</w:t>
      </w:r>
      <w:r>
        <w:rPr>
          <w:rFonts w:cs="Times New Roman"/>
          <w:sz w:val="24"/>
          <w:szCs w:val="24"/>
        </w:rPr>
        <w:t xml:space="preserve"> Yogyakarta: LKIS, 2004)</w:t>
      </w:r>
    </w:p>
    <w:p w:rsidR="00D1513E" w:rsidRPr="00513B1D" w:rsidRDefault="00D1513E" w:rsidP="000D02F5">
      <w:pPr>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lastRenderedPageBreak/>
        <w:t xml:space="preserve">Alāwi Abbās dan Ḥasan Sulayman, </w:t>
      </w:r>
      <w:r w:rsidRPr="00513B1D">
        <w:rPr>
          <w:rFonts w:ascii="Times New Roman" w:hAnsi="Times New Roman" w:cs="Times New Roman"/>
          <w:i/>
          <w:iCs/>
          <w:sz w:val="24"/>
          <w:szCs w:val="24"/>
        </w:rPr>
        <w:t xml:space="preserve">Ibānat al-Aḥkām; Syarh Bulūg al-Maram, </w:t>
      </w:r>
      <w:r w:rsidRPr="00513B1D">
        <w:rPr>
          <w:rFonts w:ascii="Times New Roman" w:hAnsi="Times New Roman" w:cs="Times New Roman"/>
          <w:sz w:val="24"/>
          <w:szCs w:val="24"/>
        </w:rPr>
        <w:t>Juz I (Beyrūt; Dā</w:t>
      </w:r>
      <w:r>
        <w:rPr>
          <w:rFonts w:cs="Times New Roman"/>
          <w:szCs w:val="24"/>
        </w:rPr>
        <w:t>r al-Fikr, 1996)</w:t>
      </w:r>
      <w:r>
        <w:rPr>
          <w:rFonts w:cs="Times New Roman"/>
          <w:szCs w:val="24"/>
          <w:lang w:val="id-ID"/>
        </w:rPr>
        <w:t>.</w:t>
      </w:r>
    </w:p>
    <w:p w:rsidR="00D1513E" w:rsidRPr="00513B1D" w:rsidRDefault="00D1513E" w:rsidP="000D02F5">
      <w:pPr>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Amin Farih. “</w:t>
      </w:r>
      <w:r w:rsidRPr="00513B1D">
        <w:rPr>
          <w:rFonts w:ascii="Times New Roman" w:hAnsi="Times New Roman" w:cs="Times New Roman"/>
          <w:i/>
          <w:sz w:val="24"/>
          <w:szCs w:val="24"/>
        </w:rPr>
        <w:t>Reinterpretasi Maslahah Sebagai Metode Istinbât Hukum Islam: Studi Pemikiran Hukum Islam Abû Ishâq Ibrâhîm Al-Shâthibî</w:t>
      </w:r>
      <w:r w:rsidRPr="00513B1D">
        <w:rPr>
          <w:rFonts w:ascii="Times New Roman" w:hAnsi="Times New Roman" w:cs="Times New Roman"/>
          <w:sz w:val="24"/>
          <w:szCs w:val="24"/>
        </w:rPr>
        <w:t>.” Al-Ahkam 1, no. 25 (2015</w:t>
      </w:r>
      <w:r>
        <w:rPr>
          <w:rFonts w:cs="Times New Roman"/>
          <w:szCs w:val="24"/>
        </w:rPr>
        <w:t>)</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Andi Herawati, </w:t>
      </w:r>
      <w:r w:rsidRPr="00513B1D">
        <w:rPr>
          <w:rFonts w:ascii="Times New Roman" w:hAnsi="Times New Roman" w:cs="Times New Roman"/>
          <w:i/>
          <w:sz w:val="24"/>
          <w:szCs w:val="24"/>
        </w:rPr>
        <w:t>“Maslahat Menurut Imam Malik dan Imam al Ghazali (Suatu Perbandingan</w:t>
      </w:r>
      <w:r w:rsidRPr="00513B1D">
        <w:rPr>
          <w:rFonts w:ascii="Times New Roman" w:hAnsi="Times New Roman" w:cs="Times New Roman"/>
          <w:sz w:val="24"/>
          <w:szCs w:val="24"/>
        </w:rPr>
        <w:t xml:space="preserve">)”, Diktum: Jurnal Syariah dan </w:t>
      </w:r>
      <w:r>
        <w:rPr>
          <w:rFonts w:ascii="Times New Roman" w:hAnsi="Times New Roman" w:cs="Times New Roman"/>
          <w:sz w:val="24"/>
          <w:szCs w:val="24"/>
        </w:rPr>
        <w:t>Hukum 12, no. 1, (2014)</w:t>
      </w:r>
    </w:p>
    <w:p w:rsidR="00D1513E" w:rsidRPr="00513B1D" w:rsidRDefault="00D1513E" w:rsidP="000D02F5">
      <w:pPr>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Asafri Jaya Bakri, </w:t>
      </w:r>
      <w:r w:rsidRPr="00513B1D">
        <w:rPr>
          <w:rFonts w:ascii="Times New Roman" w:hAnsi="Times New Roman" w:cs="Times New Roman"/>
          <w:i/>
          <w:iCs/>
          <w:sz w:val="24"/>
          <w:szCs w:val="24"/>
        </w:rPr>
        <w:t>Konsep Maqāshid Syari’ah Menurut al-Syātibi.</w:t>
      </w:r>
      <w:r w:rsidRPr="00513B1D">
        <w:rPr>
          <w:rFonts w:ascii="Times New Roman" w:hAnsi="Times New Roman" w:cs="Times New Roman"/>
          <w:sz w:val="24"/>
          <w:szCs w:val="24"/>
        </w:rPr>
        <w:t xml:space="preserve"> Ed. 1 (Cet. 1; Jakarta: PT. Raja Grafindo Persada, 1996),</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Asmawi, </w:t>
      </w:r>
      <w:r w:rsidRPr="00513B1D">
        <w:rPr>
          <w:rFonts w:ascii="Times New Roman" w:hAnsi="Times New Roman" w:cs="Times New Roman"/>
          <w:i/>
          <w:sz w:val="24"/>
          <w:szCs w:val="24"/>
        </w:rPr>
        <w:t>“Konseptualisasi Teori Maslahah,”</w:t>
      </w:r>
      <w:r w:rsidRPr="00513B1D">
        <w:rPr>
          <w:rFonts w:ascii="Times New Roman" w:hAnsi="Times New Roman" w:cs="Times New Roman"/>
          <w:sz w:val="24"/>
          <w:szCs w:val="24"/>
        </w:rPr>
        <w:t xml:space="preserve"> Jurnal Salam Filsafat dan Budaya Hukum Vol 1</w:t>
      </w:r>
      <w:r>
        <w:rPr>
          <w:rFonts w:ascii="Times New Roman" w:hAnsi="Times New Roman" w:cs="Times New Roman"/>
          <w:sz w:val="24"/>
          <w:szCs w:val="24"/>
        </w:rPr>
        <w:t>2, no. 2 (Desember 2014):</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Fathurrahman Djamil</w:t>
      </w:r>
      <w:r w:rsidRPr="00513B1D">
        <w:rPr>
          <w:rFonts w:ascii="Times New Roman" w:hAnsi="Times New Roman" w:cs="Times New Roman"/>
          <w:sz w:val="24"/>
          <w:szCs w:val="24"/>
        </w:rPr>
        <w:t xml:space="preserve">, </w:t>
      </w:r>
      <w:r w:rsidRPr="00513B1D">
        <w:rPr>
          <w:rFonts w:ascii="Times New Roman" w:hAnsi="Times New Roman" w:cs="Times New Roman"/>
          <w:i/>
          <w:iCs/>
          <w:sz w:val="24"/>
          <w:szCs w:val="24"/>
        </w:rPr>
        <w:t xml:space="preserve">Filsafat Hukum Islam </w:t>
      </w:r>
      <w:r w:rsidRPr="00513B1D">
        <w:rPr>
          <w:rFonts w:ascii="Times New Roman" w:hAnsi="Times New Roman" w:cs="Times New Roman"/>
          <w:sz w:val="24"/>
          <w:szCs w:val="24"/>
        </w:rPr>
        <w:t xml:space="preserve">(Cet. 1; Jakarta: Logos Wacana </w:t>
      </w:r>
      <w:r>
        <w:rPr>
          <w:rFonts w:ascii="Times New Roman" w:hAnsi="Times New Roman" w:cs="Times New Roman"/>
          <w:sz w:val="24"/>
          <w:szCs w:val="24"/>
        </w:rPr>
        <w:t>Ilmu, 1997)</w:t>
      </w:r>
      <w:r>
        <w:rPr>
          <w:rFonts w:ascii="Times New Roman" w:hAnsi="Times New Roman" w:cs="Times New Roman"/>
          <w:sz w:val="24"/>
          <w:szCs w:val="24"/>
          <w:lang w:val="id-ID"/>
        </w:rPr>
        <w:t>.</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Hamzah K, </w:t>
      </w:r>
      <w:r w:rsidRPr="00513B1D">
        <w:rPr>
          <w:rFonts w:ascii="Times New Roman" w:hAnsi="Times New Roman" w:cs="Times New Roman"/>
          <w:i/>
          <w:sz w:val="24"/>
          <w:szCs w:val="24"/>
        </w:rPr>
        <w:t>“Revitalisasi Teori Maslahat Mulghâh Al-Tûhfî dan Relevansinya dalam Pembentukan Perundang-Undangan di Indonesia</w:t>
      </w:r>
      <w:r w:rsidRPr="00513B1D">
        <w:rPr>
          <w:rFonts w:ascii="Times New Roman" w:hAnsi="Times New Roman" w:cs="Times New Roman"/>
          <w:sz w:val="24"/>
          <w:szCs w:val="24"/>
        </w:rPr>
        <w:t>,” Jurnal Al-Ahkam 15, n</w:t>
      </w:r>
      <w:r>
        <w:rPr>
          <w:rFonts w:ascii="Times New Roman" w:hAnsi="Times New Roman" w:cs="Times New Roman"/>
          <w:sz w:val="24"/>
          <w:szCs w:val="24"/>
        </w:rPr>
        <w:t>o. 4 (Januari 2015)</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Harun Nasution, </w:t>
      </w:r>
      <w:r w:rsidRPr="00513B1D">
        <w:rPr>
          <w:rFonts w:ascii="Times New Roman" w:hAnsi="Times New Roman" w:cs="Times New Roman"/>
          <w:i/>
          <w:iCs/>
          <w:sz w:val="24"/>
          <w:szCs w:val="24"/>
        </w:rPr>
        <w:t xml:space="preserve">Islam Ditinjau Dari Berbagai Aspeknya, </w:t>
      </w:r>
      <w:r w:rsidRPr="00513B1D">
        <w:rPr>
          <w:rFonts w:ascii="Times New Roman" w:hAnsi="Times New Roman" w:cs="Times New Roman"/>
          <w:sz w:val="24"/>
          <w:szCs w:val="24"/>
        </w:rPr>
        <w:t xml:space="preserve">(Jakarta: UI </w:t>
      </w:r>
      <w:r>
        <w:rPr>
          <w:rFonts w:ascii="Times New Roman" w:hAnsi="Times New Roman" w:cs="Times New Roman"/>
          <w:sz w:val="24"/>
          <w:szCs w:val="24"/>
        </w:rPr>
        <w:t>Press, 2008)</w:t>
      </w:r>
    </w:p>
    <w:p w:rsidR="00D1513E"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Ibn Khaldun, </w:t>
      </w:r>
      <w:r w:rsidRPr="00513B1D">
        <w:rPr>
          <w:rFonts w:ascii="Times New Roman" w:hAnsi="Times New Roman" w:cs="Times New Roman"/>
          <w:i/>
          <w:iCs/>
          <w:sz w:val="24"/>
          <w:szCs w:val="24"/>
        </w:rPr>
        <w:t xml:space="preserve">al-Muqaddimah </w:t>
      </w:r>
      <w:r>
        <w:rPr>
          <w:rFonts w:ascii="Times New Roman" w:hAnsi="Times New Roman" w:cs="Times New Roman"/>
          <w:sz w:val="24"/>
          <w:szCs w:val="24"/>
        </w:rPr>
        <w:t>(Kairo: Bulaq, 1320 H)</w:t>
      </w:r>
      <w:r w:rsidRPr="00513B1D">
        <w:rPr>
          <w:rFonts w:ascii="Times New Roman" w:hAnsi="Times New Roman" w:cs="Times New Roman"/>
          <w:sz w:val="24"/>
          <w:szCs w:val="24"/>
        </w:rPr>
        <w:t xml:space="preserve"> </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Imam Fawaid. </w:t>
      </w:r>
      <w:r w:rsidRPr="00513B1D">
        <w:rPr>
          <w:rFonts w:ascii="Times New Roman" w:hAnsi="Times New Roman" w:cs="Times New Roman"/>
          <w:i/>
          <w:sz w:val="24"/>
          <w:szCs w:val="24"/>
        </w:rPr>
        <w:t>“Konsep Pemikiran Ath-Thufi Tentang Mashlahah Sebagai Metode Istinbath Hukum Islam.” Lisan al-Hal</w:t>
      </w:r>
      <w:r w:rsidRPr="00513B1D">
        <w:rPr>
          <w:rFonts w:ascii="Times New Roman" w:hAnsi="Times New Roman" w:cs="Times New Roman"/>
          <w:sz w:val="24"/>
          <w:szCs w:val="24"/>
        </w:rPr>
        <w:t>: Jurnal Pengembangan Pemikiran dan Kebuda</w:t>
      </w:r>
      <w:r>
        <w:rPr>
          <w:rFonts w:ascii="Times New Roman" w:hAnsi="Times New Roman" w:cs="Times New Roman"/>
          <w:sz w:val="24"/>
          <w:szCs w:val="24"/>
        </w:rPr>
        <w:t>yaan 6, no. 2 (2014)</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Miftaakhul Amri</w:t>
      </w:r>
      <w:r w:rsidRPr="00513B1D">
        <w:rPr>
          <w:rFonts w:ascii="Times New Roman" w:hAnsi="Times New Roman" w:cs="Times New Roman"/>
          <w:sz w:val="24"/>
          <w:szCs w:val="24"/>
          <w:lang w:val="id-ID"/>
        </w:rPr>
        <w:t xml:space="preserve">, Konsep Maslahat Dalam Penetapan Hukum Islam, Et-Tijarie| Volume 5, Nomor </w:t>
      </w:r>
      <w:r>
        <w:rPr>
          <w:rFonts w:ascii="Times New Roman" w:hAnsi="Times New Roman" w:cs="Times New Roman"/>
          <w:sz w:val="24"/>
          <w:szCs w:val="24"/>
          <w:lang w:val="id-ID"/>
        </w:rPr>
        <w:t>2 2018.</w:t>
      </w:r>
    </w:p>
    <w:p w:rsidR="00D1513E" w:rsidRPr="003B338A" w:rsidRDefault="00D1513E" w:rsidP="000D02F5">
      <w:pPr>
        <w:spacing w:line="360" w:lineRule="auto"/>
        <w:ind w:left="567" w:hanging="567"/>
        <w:jc w:val="both"/>
        <w:rPr>
          <w:rFonts w:ascii="Times New Roman" w:hAnsi="Times New Roman" w:cs="Times New Roman"/>
          <w:sz w:val="24"/>
          <w:szCs w:val="24"/>
          <w:lang w:val="id-ID"/>
        </w:rPr>
      </w:pPr>
      <w:r w:rsidRPr="003B338A">
        <w:rPr>
          <w:rFonts w:ascii="Times New Roman" w:hAnsi="Times New Roman" w:cs="Times New Roman"/>
          <w:sz w:val="24"/>
          <w:szCs w:val="24"/>
        </w:rPr>
        <w:t xml:space="preserve">Muh. Zuhri, </w:t>
      </w:r>
      <w:r w:rsidRPr="003B338A">
        <w:rPr>
          <w:rFonts w:ascii="Times New Roman" w:hAnsi="Times New Roman" w:cs="Times New Roman"/>
          <w:i/>
          <w:iCs/>
          <w:sz w:val="24"/>
          <w:szCs w:val="24"/>
        </w:rPr>
        <w:t>Hukum Islam dalam Lintasan Sejarah.</w:t>
      </w:r>
      <w:r w:rsidRPr="003B338A">
        <w:rPr>
          <w:rFonts w:ascii="Times New Roman" w:hAnsi="Times New Roman" w:cs="Times New Roman"/>
          <w:sz w:val="24"/>
          <w:szCs w:val="24"/>
        </w:rPr>
        <w:t xml:space="preserve"> Ed. 1 (Cet. 1; Jakarta: PT. Raja Grafindo Persada, 1996)</w:t>
      </w:r>
      <w:r w:rsidRPr="003B338A">
        <w:rPr>
          <w:rFonts w:ascii="Times New Roman" w:hAnsi="Times New Roman" w:cs="Times New Roman"/>
          <w:sz w:val="24"/>
          <w:szCs w:val="24"/>
          <w:lang w:val="id-ID"/>
        </w:rPr>
        <w:t>.</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Muh. Zuhri, </w:t>
      </w:r>
      <w:r w:rsidRPr="00513B1D">
        <w:rPr>
          <w:rFonts w:ascii="Times New Roman" w:hAnsi="Times New Roman" w:cs="Times New Roman"/>
          <w:i/>
          <w:iCs/>
          <w:sz w:val="24"/>
          <w:szCs w:val="24"/>
        </w:rPr>
        <w:t>Hukum Islam dalam Lintasan Sejarah</w:t>
      </w:r>
      <w:r w:rsidRPr="00513B1D">
        <w:rPr>
          <w:rFonts w:ascii="Times New Roman" w:hAnsi="Times New Roman" w:cs="Times New Roman"/>
          <w:sz w:val="24"/>
          <w:szCs w:val="24"/>
        </w:rPr>
        <w:t>. Ed. 1 (Cet. 1; Jakarta: PT. Raja Graf</w:t>
      </w:r>
      <w:r>
        <w:rPr>
          <w:rFonts w:ascii="Times New Roman" w:hAnsi="Times New Roman" w:cs="Times New Roman"/>
          <w:sz w:val="24"/>
          <w:szCs w:val="24"/>
        </w:rPr>
        <w:t>indo Persada, 1996)</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lastRenderedPageBreak/>
        <w:t xml:space="preserve">Muhammad Abu Zahrah, </w:t>
      </w:r>
      <w:r w:rsidRPr="00513B1D">
        <w:rPr>
          <w:rFonts w:ascii="Times New Roman" w:hAnsi="Times New Roman" w:cs="Times New Roman"/>
          <w:i/>
          <w:iCs/>
          <w:sz w:val="24"/>
          <w:szCs w:val="24"/>
        </w:rPr>
        <w:t>Ushul Fiqh</w:t>
      </w:r>
      <w:r w:rsidRPr="00513B1D">
        <w:rPr>
          <w:rFonts w:ascii="Times New Roman" w:hAnsi="Times New Roman" w:cs="Times New Roman"/>
          <w:sz w:val="24"/>
          <w:szCs w:val="24"/>
        </w:rPr>
        <w:t xml:space="preserve"> (Cet. 2; Jakarta: PT. Pust</w:t>
      </w:r>
      <w:r>
        <w:rPr>
          <w:rFonts w:ascii="Times New Roman" w:hAnsi="Times New Roman" w:cs="Times New Roman"/>
          <w:sz w:val="24"/>
          <w:szCs w:val="24"/>
        </w:rPr>
        <w:t>aka Firdaus, 1994)</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Muksana Pasaribu, </w:t>
      </w:r>
      <w:r w:rsidRPr="00513B1D">
        <w:rPr>
          <w:rFonts w:ascii="Times New Roman" w:hAnsi="Times New Roman" w:cs="Times New Roman"/>
          <w:i/>
          <w:sz w:val="24"/>
          <w:szCs w:val="24"/>
        </w:rPr>
        <w:t>“Maslahat dan Perkembangannya Sebagai Dasar Penetapan Hukum Islam,”</w:t>
      </w:r>
      <w:r w:rsidRPr="00513B1D">
        <w:rPr>
          <w:rFonts w:ascii="Times New Roman" w:hAnsi="Times New Roman" w:cs="Times New Roman"/>
          <w:sz w:val="24"/>
          <w:szCs w:val="24"/>
        </w:rPr>
        <w:t xml:space="preserve"> Jurnal Justitia 1</w:t>
      </w:r>
      <w:r>
        <w:rPr>
          <w:rFonts w:ascii="Times New Roman" w:hAnsi="Times New Roman" w:cs="Times New Roman"/>
          <w:sz w:val="24"/>
          <w:szCs w:val="24"/>
        </w:rPr>
        <w:t>, no. 4, (Desember 2014)</w:t>
      </w:r>
    </w:p>
    <w:p w:rsidR="00D1513E" w:rsidRPr="00513B1D" w:rsidRDefault="00D1513E" w:rsidP="000D02F5">
      <w:pPr>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Mun’im A. Sirri,</w:t>
      </w:r>
      <w:r w:rsidRPr="00513B1D">
        <w:rPr>
          <w:rFonts w:ascii="Times New Roman" w:hAnsi="Times New Roman" w:cs="Times New Roman"/>
          <w:i/>
          <w:iCs/>
          <w:sz w:val="24"/>
          <w:szCs w:val="24"/>
        </w:rPr>
        <w:t xml:space="preserve"> Sejarah Fiqh Islam </w:t>
      </w:r>
      <w:r w:rsidRPr="00513B1D">
        <w:rPr>
          <w:rFonts w:ascii="Times New Roman" w:hAnsi="Times New Roman" w:cs="Times New Roman"/>
          <w:sz w:val="24"/>
          <w:szCs w:val="24"/>
        </w:rPr>
        <w:t>(Cet. 1; Surabaya: Risalah Gusti, 1995)</w:t>
      </w:r>
    </w:p>
    <w:p w:rsidR="00D1513E"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Muṣtafa Zayd, </w:t>
      </w:r>
      <w:r w:rsidRPr="00513B1D">
        <w:rPr>
          <w:rFonts w:ascii="Times New Roman" w:hAnsi="Times New Roman" w:cs="Times New Roman"/>
          <w:i/>
          <w:iCs/>
          <w:sz w:val="24"/>
          <w:szCs w:val="24"/>
        </w:rPr>
        <w:t xml:space="preserve">al-Maṣlaḥat fīy al-Tasyri’ al-Islāmīy Najm al-Dīn al-Ṭawfi, </w:t>
      </w:r>
      <w:r w:rsidRPr="00513B1D">
        <w:rPr>
          <w:rFonts w:ascii="Times New Roman" w:hAnsi="Times New Roman" w:cs="Times New Roman"/>
          <w:sz w:val="24"/>
          <w:szCs w:val="24"/>
        </w:rPr>
        <w:t>(Ed. II;  Kairo: Dār al-Fikr al-‘Arabī</w:t>
      </w:r>
      <w:r>
        <w:rPr>
          <w:rFonts w:ascii="Times New Roman" w:hAnsi="Times New Roman" w:cs="Times New Roman"/>
          <w:sz w:val="24"/>
          <w:szCs w:val="24"/>
        </w:rPr>
        <w:t>y, 1964)</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Nasrun Haroen, MA, </w:t>
      </w:r>
      <w:r w:rsidRPr="00513B1D">
        <w:rPr>
          <w:rFonts w:ascii="Times New Roman" w:hAnsi="Times New Roman" w:cs="Times New Roman"/>
          <w:i/>
          <w:iCs/>
          <w:sz w:val="24"/>
          <w:szCs w:val="24"/>
        </w:rPr>
        <w:t xml:space="preserve">Ushul Fiqh </w:t>
      </w:r>
      <w:r w:rsidRPr="00513B1D">
        <w:rPr>
          <w:rFonts w:ascii="Times New Roman" w:hAnsi="Times New Roman" w:cs="Times New Roman"/>
          <w:sz w:val="24"/>
          <w:szCs w:val="24"/>
        </w:rPr>
        <w:t>(Cet. 1;</w:t>
      </w:r>
      <w:r>
        <w:rPr>
          <w:rFonts w:ascii="Times New Roman" w:hAnsi="Times New Roman" w:cs="Times New Roman"/>
          <w:sz w:val="24"/>
          <w:szCs w:val="24"/>
        </w:rPr>
        <w:t xml:space="preserve"> Jakarta; Logos, 1992)</w:t>
      </w:r>
    </w:p>
    <w:p w:rsidR="00D1513E" w:rsidRPr="00513B1D" w:rsidRDefault="00D1513E" w:rsidP="000D02F5">
      <w:pPr>
        <w:pStyle w:val="FootnoteText"/>
        <w:spacing w:line="360" w:lineRule="auto"/>
        <w:jc w:val="both"/>
        <w:rPr>
          <w:rFonts w:ascii="Times New Roman" w:eastAsia="Times New Roman" w:hAnsi="Times New Roman" w:cs="Times New Roman"/>
          <w:sz w:val="24"/>
          <w:szCs w:val="24"/>
          <w:lang w:val="id-ID"/>
        </w:rPr>
      </w:pPr>
      <w:r w:rsidRPr="00513B1D">
        <w:rPr>
          <w:rFonts w:ascii="Times New Roman" w:eastAsia="Times New Roman" w:hAnsi="Times New Roman" w:cs="Times New Roman"/>
          <w:sz w:val="24"/>
          <w:szCs w:val="24"/>
        </w:rPr>
        <w:t xml:space="preserve">Nasrun Haroen, MA. </w:t>
      </w:r>
      <w:r w:rsidRPr="00513B1D">
        <w:rPr>
          <w:rFonts w:ascii="Times New Roman" w:eastAsia="Times New Roman" w:hAnsi="Times New Roman" w:cs="Times New Roman"/>
          <w:i/>
          <w:iCs/>
          <w:sz w:val="24"/>
          <w:szCs w:val="24"/>
        </w:rPr>
        <w:t xml:space="preserve">Ushul Fiqh </w:t>
      </w:r>
      <w:r w:rsidRPr="00513B1D">
        <w:rPr>
          <w:rFonts w:ascii="Times New Roman" w:eastAsia="Times New Roman" w:hAnsi="Times New Roman" w:cs="Times New Roman"/>
          <w:sz w:val="24"/>
          <w:szCs w:val="24"/>
        </w:rPr>
        <w:t>(Cet. 1; Jakarta: Logos, 1996)</w:t>
      </w:r>
    </w:p>
    <w:p w:rsidR="00D1513E" w:rsidRDefault="00D1513E" w:rsidP="000D02F5">
      <w:pPr>
        <w:spacing w:line="360" w:lineRule="auto"/>
        <w:jc w:val="both"/>
        <w:rPr>
          <w:rFonts w:cs="Times New Roman"/>
          <w:szCs w:val="24"/>
          <w:lang w:val="id-ID"/>
        </w:rPr>
      </w:pPr>
      <w:r w:rsidRPr="00513B1D">
        <w:rPr>
          <w:rFonts w:ascii="Times New Roman" w:hAnsi="Times New Roman" w:cs="Times New Roman"/>
          <w:sz w:val="24"/>
          <w:szCs w:val="24"/>
        </w:rPr>
        <w:t xml:space="preserve">Sa’īd bin Nāṣir, </w:t>
      </w:r>
      <w:r w:rsidRPr="00513B1D">
        <w:rPr>
          <w:rFonts w:ascii="Times New Roman" w:hAnsi="Times New Roman" w:cs="Times New Roman"/>
          <w:i/>
          <w:iCs/>
          <w:sz w:val="24"/>
          <w:szCs w:val="24"/>
        </w:rPr>
        <w:t xml:space="preserve">al-Maṣlaḥat ‘Inda al-Ḥanābilat </w:t>
      </w:r>
      <w:r>
        <w:rPr>
          <w:rFonts w:cs="Times New Roman"/>
          <w:szCs w:val="24"/>
        </w:rPr>
        <w:t>(t.tp: t.td., t.th.)</w:t>
      </w:r>
      <w:r>
        <w:rPr>
          <w:rFonts w:cs="Times New Roman"/>
          <w:szCs w:val="24"/>
          <w:lang w:val="id-ID"/>
        </w:rPr>
        <w:t>.</w:t>
      </w:r>
    </w:p>
    <w:p w:rsidR="00D1513E" w:rsidRPr="00513B1D" w:rsidRDefault="00D1513E" w:rsidP="000D02F5">
      <w:pPr>
        <w:pStyle w:val="FootnoteText"/>
        <w:spacing w:line="360" w:lineRule="auto"/>
        <w:ind w:left="567" w:hanging="567"/>
        <w:jc w:val="both"/>
        <w:rPr>
          <w:rFonts w:ascii="Times New Roman" w:hAnsi="Times New Roman" w:cs="Times New Roman"/>
          <w:sz w:val="24"/>
          <w:szCs w:val="24"/>
        </w:rPr>
      </w:pPr>
      <w:r w:rsidRPr="00513B1D">
        <w:rPr>
          <w:rFonts w:ascii="Times New Roman" w:hAnsi="Times New Roman" w:cs="Times New Roman"/>
          <w:sz w:val="24"/>
          <w:szCs w:val="24"/>
        </w:rPr>
        <w:t xml:space="preserve">Said Aqil Husin al-Munawwir, </w:t>
      </w:r>
      <w:r w:rsidRPr="00513B1D">
        <w:rPr>
          <w:rFonts w:ascii="Times New Roman" w:hAnsi="Times New Roman" w:cs="Times New Roman"/>
          <w:i/>
          <w:iCs/>
          <w:sz w:val="24"/>
          <w:szCs w:val="24"/>
        </w:rPr>
        <w:t xml:space="preserve">Dimensi-dimensi Kehidupan dalam Perspektif Islam </w:t>
      </w:r>
      <w:r w:rsidRPr="00513B1D">
        <w:rPr>
          <w:rFonts w:ascii="Times New Roman" w:hAnsi="Times New Roman" w:cs="Times New Roman"/>
          <w:sz w:val="24"/>
          <w:szCs w:val="24"/>
        </w:rPr>
        <w:t>(Mal</w:t>
      </w:r>
      <w:r>
        <w:rPr>
          <w:rFonts w:ascii="Times New Roman" w:hAnsi="Times New Roman" w:cs="Times New Roman"/>
          <w:sz w:val="24"/>
          <w:szCs w:val="24"/>
        </w:rPr>
        <w:t>ang: Pascasarjana UNISMA, 2001)</w:t>
      </w:r>
      <w:r w:rsidRPr="00513B1D">
        <w:rPr>
          <w:rFonts w:ascii="Times New Roman" w:hAnsi="Times New Roman" w:cs="Times New Roman"/>
          <w:sz w:val="24"/>
          <w:szCs w:val="24"/>
        </w:rPr>
        <w:t xml:space="preserve"> </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Sharif, M. M, </w:t>
      </w:r>
      <w:r w:rsidRPr="00513B1D">
        <w:rPr>
          <w:rFonts w:ascii="Times New Roman" w:hAnsi="Times New Roman" w:cs="Times New Roman"/>
          <w:i/>
          <w:iCs/>
          <w:sz w:val="24"/>
          <w:szCs w:val="24"/>
        </w:rPr>
        <w:t>A History of Muslim Philosophy</w:t>
      </w:r>
      <w:r>
        <w:rPr>
          <w:rFonts w:ascii="Times New Roman" w:hAnsi="Times New Roman" w:cs="Times New Roman"/>
          <w:sz w:val="24"/>
          <w:szCs w:val="24"/>
        </w:rPr>
        <w:t xml:space="preserve"> (tt: tp, 1963)</w:t>
      </w:r>
    </w:p>
    <w:p w:rsidR="00D1513E" w:rsidRPr="00513B1D" w:rsidRDefault="00D1513E" w:rsidP="000D02F5">
      <w:pPr>
        <w:pStyle w:val="FootnoteText"/>
        <w:spacing w:line="360" w:lineRule="auto"/>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Syarmin Syukur, </w:t>
      </w:r>
      <w:r w:rsidRPr="00513B1D">
        <w:rPr>
          <w:rFonts w:ascii="Times New Roman" w:hAnsi="Times New Roman" w:cs="Times New Roman"/>
          <w:i/>
          <w:iCs/>
          <w:sz w:val="24"/>
          <w:szCs w:val="24"/>
        </w:rPr>
        <w:t xml:space="preserve">Sumber-sumber Hukum Islam </w:t>
      </w:r>
      <w:r w:rsidRPr="00513B1D">
        <w:rPr>
          <w:rFonts w:ascii="Times New Roman" w:hAnsi="Times New Roman" w:cs="Times New Roman"/>
          <w:sz w:val="24"/>
          <w:szCs w:val="24"/>
        </w:rPr>
        <w:t>(Cet. 1; Suraba</w:t>
      </w:r>
      <w:r>
        <w:rPr>
          <w:rFonts w:ascii="Times New Roman" w:hAnsi="Times New Roman" w:cs="Times New Roman"/>
          <w:sz w:val="24"/>
          <w:szCs w:val="24"/>
        </w:rPr>
        <w:t>ya: al-Ikhlas, 1993)</w:t>
      </w:r>
    </w:p>
    <w:p w:rsidR="00D1513E" w:rsidRDefault="00D1513E" w:rsidP="000D02F5">
      <w:pPr>
        <w:spacing w:line="360" w:lineRule="auto"/>
        <w:ind w:left="567" w:hanging="567"/>
        <w:jc w:val="both"/>
        <w:rPr>
          <w:rFonts w:cs="Times New Roman"/>
          <w:szCs w:val="24"/>
          <w:lang w:val="id-ID"/>
        </w:rPr>
      </w:pPr>
      <w:r w:rsidRPr="00513B1D">
        <w:rPr>
          <w:rFonts w:ascii="Times New Roman" w:hAnsi="Times New Roman" w:cs="Times New Roman"/>
          <w:sz w:val="24"/>
          <w:szCs w:val="24"/>
        </w:rPr>
        <w:t xml:space="preserve">Yudian W. Asmin, </w:t>
      </w:r>
      <w:r w:rsidRPr="00513B1D">
        <w:rPr>
          <w:rFonts w:ascii="Times New Roman" w:hAnsi="Times New Roman" w:cs="Times New Roman"/>
          <w:i/>
          <w:iCs/>
          <w:sz w:val="24"/>
          <w:szCs w:val="24"/>
        </w:rPr>
        <w:t>Filsafat Hukum Islam dan Perubahan Sosial</w:t>
      </w:r>
      <w:r w:rsidRPr="00513B1D">
        <w:rPr>
          <w:rFonts w:ascii="Times New Roman" w:hAnsi="Times New Roman" w:cs="Times New Roman"/>
          <w:i/>
          <w:iCs/>
          <w:sz w:val="24"/>
          <w:szCs w:val="24"/>
          <w:lang w:val="id-ID"/>
        </w:rPr>
        <w:t xml:space="preserve"> </w:t>
      </w:r>
      <w:r w:rsidRPr="00513B1D">
        <w:rPr>
          <w:rFonts w:ascii="Times New Roman" w:hAnsi="Times New Roman" w:cs="Times New Roman"/>
          <w:sz w:val="24"/>
          <w:szCs w:val="24"/>
        </w:rPr>
        <w:t>(Cet. 1; Yogyakarta: al-Ikhlas, 1995</w:t>
      </w:r>
    </w:p>
    <w:p w:rsidR="00D1513E" w:rsidRDefault="00D1513E" w:rsidP="000D02F5">
      <w:pPr>
        <w:pStyle w:val="FootnoteText"/>
        <w:spacing w:line="360" w:lineRule="auto"/>
        <w:ind w:left="567" w:hanging="567"/>
        <w:jc w:val="both"/>
        <w:rPr>
          <w:rFonts w:ascii="Times New Roman" w:hAnsi="Times New Roman" w:cs="Times New Roman"/>
          <w:sz w:val="24"/>
          <w:szCs w:val="24"/>
          <w:lang w:val="id-ID"/>
        </w:rPr>
      </w:pPr>
      <w:r w:rsidRPr="00513B1D">
        <w:rPr>
          <w:rFonts w:ascii="Times New Roman" w:hAnsi="Times New Roman" w:cs="Times New Roman"/>
          <w:sz w:val="24"/>
          <w:szCs w:val="24"/>
        </w:rPr>
        <w:t xml:space="preserve">Yusuf al-Qardhawi, </w:t>
      </w:r>
      <w:r w:rsidRPr="00513B1D">
        <w:rPr>
          <w:rFonts w:ascii="Times New Roman" w:hAnsi="Times New Roman" w:cs="Times New Roman"/>
          <w:i/>
          <w:iCs/>
          <w:sz w:val="24"/>
          <w:szCs w:val="24"/>
        </w:rPr>
        <w:t>Membumikan Syari’at Islam</w:t>
      </w:r>
      <w:r w:rsidRPr="00513B1D">
        <w:rPr>
          <w:rFonts w:ascii="Times New Roman" w:hAnsi="Times New Roman" w:cs="Times New Roman"/>
          <w:sz w:val="24"/>
          <w:szCs w:val="24"/>
        </w:rPr>
        <w:t xml:space="preserve"> (Cet. 1; Surab</w:t>
      </w:r>
      <w:r>
        <w:rPr>
          <w:rFonts w:ascii="Times New Roman" w:hAnsi="Times New Roman" w:cs="Times New Roman"/>
          <w:sz w:val="24"/>
          <w:szCs w:val="24"/>
        </w:rPr>
        <w:t>aya: Dunia Ilmu Offset)</w:t>
      </w:r>
    </w:p>
    <w:p w:rsidR="00AD15A5" w:rsidRPr="003C6B8D" w:rsidRDefault="00AD15A5" w:rsidP="000D02F5">
      <w:pPr>
        <w:pStyle w:val="FootnoteText"/>
        <w:spacing w:line="360" w:lineRule="auto"/>
        <w:jc w:val="both"/>
        <w:rPr>
          <w:rFonts w:ascii="Times New Roman" w:hAnsi="Times New Roman" w:cs="Times New Roman"/>
          <w:sz w:val="24"/>
          <w:szCs w:val="24"/>
        </w:rPr>
      </w:pPr>
    </w:p>
    <w:p w:rsidR="00F40EFC" w:rsidRPr="003C6B8D" w:rsidRDefault="00F40EFC" w:rsidP="000D02F5">
      <w:pPr>
        <w:tabs>
          <w:tab w:val="left" w:pos="540"/>
        </w:tabs>
        <w:spacing w:line="360" w:lineRule="auto"/>
        <w:ind w:left="720" w:hanging="720"/>
        <w:jc w:val="both"/>
        <w:rPr>
          <w:sz w:val="24"/>
          <w:szCs w:val="24"/>
        </w:rPr>
      </w:pPr>
    </w:p>
    <w:p w:rsidR="00F40EFC" w:rsidRPr="003C6B8D" w:rsidRDefault="00F40EFC" w:rsidP="000D02F5">
      <w:pPr>
        <w:tabs>
          <w:tab w:val="left" w:pos="540"/>
        </w:tabs>
        <w:spacing w:line="360" w:lineRule="auto"/>
        <w:ind w:left="720" w:hanging="720"/>
        <w:jc w:val="both"/>
        <w:rPr>
          <w:sz w:val="24"/>
          <w:szCs w:val="24"/>
        </w:rPr>
      </w:pPr>
    </w:p>
    <w:p w:rsidR="00F40EFC" w:rsidRPr="003C6B8D" w:rsidRDefault="00F40EFC" w:rsidP="000D02F5">
      <w:pPr>
        <w:tabs>
          <w:tab w:val="left" w:pos="540"/>
        </w:tabs>
        <w:spacing w:line="360" w:lineRule="auto"/>
        <w:ind w:left="720" w:hanging="720"/>
        <w:jc w:val="both"/>
        <w:rPr>
          <w:sz w:val="24"/>
          <w:szCs w:val="24"/>
        </w:rPr>
      </w:pPr>
    </w:p>
    <w:p w:rsidR="00F40EFC" w:rsidRPr="003C6B8D" w:rsidRDefault="00F40EFC" w:rsidP="000D02F5">
      <w:pPr>
        <w:tabs>
          <w:tab w:val="left" w:pos="540"/>
        </w:tabs>
        <w:spacing w:line="360" w:lineRule="auto"/>
        <w:ind w:left="720" w:hanging="720"/>
        <w:jc w:val="both"/>
        <w:rPr>
          <w:sz w:val="24"/>
          <w:szCs w:val="24"/>
        </w:rPr>
      </w:pPr>
    </w:p>
    <w:sectPr w:rsidR="00F40EFC" w:rsidRPr="003C6B8D" w:rsidSect="0031166A">
      <w:headerReference w:type="default" r:id="rId8"/>
      <w:pgSz w:w="12240" w:h="15840"/>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049" w:rsidRDefault="001A7049" w:rsidP="00A91296">
      <w:pPr>
        <w:spacing w:after="0" w:line="240" w:lineRule="auto"/>
      </w:pPr>
      <w:r>
        <w:separator/>
      </w:r>
    </w:p>
  </w:endnote>
  <w:endnote w:type="continuationSeparator" w:id="1">
    <w:p w:rsidR="001A7049" w:rsidRDefault="001A7049" w:rsidP="00A91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Times New Arab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049" w:rsidRDefault="001A7049" w:rsidP="00A91296">
      <w:pPr>
        <w:spacing w:after="0" w:line="240" w:lineRule="auto"/>
      </w:pPr>
      <w:r>
        <w:separator/>
      </w:r>
    </w:p>
  </w:footnote>
  <w:footnote w:type="continuationSeparator" w:id="1">
    <w:p w:rsidR="001A7049" w:rsidRDefault="001A7049" w:rsidP="00A91296">
      <w:pPr>
        <w:spacing w:after="0" w:line="240" w:lineRule="auto"/>
      </w:pPr>
      <w:r>
        <w:continuationSeparator/>
      </w:r>
    </w:p>
  </w:footnote>
  <w:footnote w:id="2">
    <w:p w:rsidR="009B2865" w:rsidRPr="00AD15A5" w:rsidRDefault="009B2865" w:rsidP="00AD15A5">
      <w:pPr>
        <w:pStyle w:val="FootnoteText"/>
        <w:ind w:firstLine="720"/>
        <w:jc w:val="both"/>
        <w:rPr>
          <w:rFonts w:ascii="Times New Roman" w:hAnsi="Times New Roman" w:cs="Times New Roman"/>
        </w:rPr>
      </w:pPr>
    </w:p>
    <w:p w:rsidR="009B2865" w:rsidRPr="00AD15A5" w:rsidRDefault="009B2865" w:rsidP="00D64283">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Dalam sejarah ditemukan perbedaan pendapat tentang siapa yang pertama kali menyusun kaidah-kaidah ushul fiqh. Kalangan pendukung Abu Hanifah berpendapat bahwa Abu Hanifah yang pe</w:t>
      </w:r>
      <w:r w:rsidR="00D64283">
        <w:rPr>
          <w:rFonts w:ascii="Times New Roman" w:hAnsi="Times New Roman" w:cs="Times New Roman"/>
        </w:rPr>
        <w:t>rtama menjelaskan metode istinbā</w:t>
      </w:r>
      <w:r w:rsidRPr="00AD15A5">
        <w:rPr>
          <w:rFonts w:ascii="Times New Roman" w:hAnsi="Times New Roman" w:cs="Times New Roman"/>
        </w:rPr>
        <w:t xml:space="preserve">t dalam kitabnya al-Ra’yu. Golongan Malikiah </w:t>
      </w:r>
      <w:r w:rsidR="00D64283">
        <w:rPr>
          <w:rFonts w:ascii="Times New Roman" w:hAnsi="Times New Roman" w:cs="Times New Roman"/>
        </w:rPr>
        <w:t>mengakui bahwa Imām Mā</w:t>
      </w:r>
      <w:r w:rsidRPr="00AD15A5">
        <w:rPr>
          <w:rFonts w:ascii="Times New Roman" w:hAnsi="Times New Roman" w:cs="Times New Roman"/>
        </w:rPr>
        <w:t>lik  adalah orang yang pertama berbicara tentang ush</w:t>
      </w:r>
      <w:r w:rsidR="00D64283">
        <w:rPr>
          <w:rFonts w:ascii="Times New Roman" w:hAnsi="Times New Roman" w:cs="Times New Roman"/>
        </w:rPr>
        <w:t>ū</w:t>
      </w:r>
      <w:r w:rsidRPr="00AD15A5">
        <w:rPr>
          <w:rFonts w:ascii="Times New Roman" w:hAnsi="Times New Roman" w:cs="Times New Roman"/>
        </w:rPr>
        <w:t xml:space="preserve">l </w:t>
      </w:r>
      <w:r w:rsidR="00D64283">
        <w:rPr>
          <w:rFonts w:ascii="Times New Roman" w:hAnsi="Times New Roman" w:cs="Times New Roman"/>
        </w:rPr>
        <w:t>al-</w:t>
      </w:r>
      <w:r w:rsidRPr="00AD15A5">
        <w:rPr>
          <w:rFonts w:ascii="Times New Roman" w:hAnsi="Times New Roman" w:cs="Times New Roman"/>
        </w:rPr>
        <w:t>fiqh sekalipun bukan seb</w:t>
      </w:r>
      <w:r w:rsidR="00D64283">
        <w:rPr>
          <w:rFonts w:ascii="Times New Roman" w:hAnsi="Times New Roman" w:cs="Times New Roman"/>
        </w:rPr>
        <w:t>agai penyusun pertama kitab ushū</w:t>
      </w:r>
      <w:r w:rsidRPr="00AD15A5">
        <w:rPr>
          <w:rFonts w:ascii="Times New Roman" w:hAnsi="Times New Roman" w:cs="Times New Roman"/>
        </w:rPr>
        <w:t xml:space="preserve">l </w:t>
      </w:r>
      <w:r w:rsidR="00D64283">
        <w:rPr>
          <w:rFonts w:ascii="Times New Roman" w:hAnsi="Times New Roman" w:cs="Times New Roman"/>
        </w:rPr>
        <w:t>al-</w:t>
      </w:r>
      <w:r w:rsidRPr="00AD15A5">
        <w:rPr>
          <w:rFonts w:ascii="Times New Roman" w:hAnsi="Times New Roman" w:cs="Times New Roman"/>
        </w:rPr>
        <w:t xml:space="preserve">fiqh. Kalangan Syiah Imamiyah berpendapat bahwa </w:t>
      </w:r>
      <w:r w:rsidR="00D64283">
        <w:rPr>
          <w:rFonts w:ascii="Times New Roman" w:hAnsi="Times New Roman" w:cs="Times New Roman"/>
        </w:rPr>
        <w:t>yang pertama menyusun kitab ushū</w:t>
      </w:r>
      <w:r w:rsidRPr="00AD15A5">
        <w:rPr>
          <w:rFonts w:ascii="Times New Roman" w:hAnsi="Times New Roman" w:cs="Times New Roman"/>
        </w:rPr>
        <w:t xml:space="preserve">l </w:t>
      </w:r>
      <w:r w:rsidR="00D64283">
        <w:rPr>
          <w:rFonts w:ascii="Times New Roman" w:hAnsi="Times New Roman" w:cs="Times New Roman"/>
        </w:rPr>
        <w:t>al-</w:t>
      </w:r>
      <w:r w:rsidRPr="00AD15A5">
        <w:rPr>
          <w:rFonts w:ascii="Times New Roman" w:hAnsi="Times New Roman" w:cs="Times New Roman"/>
        </w:rPr>
        <w:t>fiqh adalah Muhammad al-Baqir Ibn Al</w:t>
      </w:r>
      <w:r w:rsidR="00D64283">
        <w:rPr>
          <w:rFonts w:ascii="Times New Roman" w:hAnsi="Times New Roman" w:cs="Times New Roman"/>
        </w:rPr>
        <w:t>ī</w:t>
      </w:r>
      <w:r w:rsidRPr="00AD15A5">
        <w:rPr>
          <w:rFonts w:ascii="Times New Roman" w:hAnsi="Times New Roman" w:cs="Times New Roman"/>
        </w:rPr>
        <w:t xml:space="preserve"> I</w:t>
      </w:r>
      <w:r w:rsidR="00D64283">
        <w:rPr>
          <w:rFonts w:ascii="Times New Roman" w:hAnsi="Times New Roman" w:cs="Times New Roman"/>
        </w:rPr>
        <w:t>bn Zain al-Abidī</w:t>
      </w:r>
      <w:r w:rsidRPr="00AD15A5">
        <w:rPr>
          <w:rFonts w:ascii="Times New Roman" w:hAnsi="Times New Roman" w:cs="Times New Roman"/>
        </w:rPr>
        <w:t>n kemudian dilanjutkan oleh putranya Imam Abu Abdillah Ja’far al-Sadiq. Golongan Syafi’ah berpendapa</w:t>
      </w:r>
      <w:r w:rsidR="00D64283">
        <w:rPr>
          <w:rFonts w:ascii="Times New Roman" w:hAnsi="Times New Roman" w:cs="Times New Roman"/>
        </w:rPr>
        <w:t>t bahwa yang menyusun kitab ushū</w:t>
      </w:r>
      <w:r w:rsidRPr="00AD15A5">
        <w:rPr>
          <w:rFonts w:ascii="Times New Roman" w:hAnsi="Times New Roman" w:cs="Times New Roman"/>
        </w:rPr>
        <w:t xml:space="preserve">l </w:t>
      </w:r>
      <w:r w:rsidR="00D64283">
        <w:rPr>
          <w:rFonts w:ascii="Times New Roman" w:hAnsi="Times New Roman" w:cs="Times New Roman"/>
        </w:rPr>
        <w:t>al-</w:t>
      </w:r>
      <w:r w:rsidRPr="00AD15A5">
        <w:rPr>
          <w:rFonts w:ascii="Times New Roman" w:hAnsi="Times New Roman" w:cs="Times New Roman"/>
        </w:rPr>
        <w:t xml:space="preserve">fiqh pertama </w:t>
      </w:r>
      <w:r w:rsidR="00D64283">
        <w:rPr>
          <w:rFonts w:ascii="Times New Roman" w:hAnsi="Times New Roman" w:cs="Times New Roman"/>
        </w:rPr>
        <w:t>adalah Muhammad Ibn Idris al-Syāfi’I dengan kitabnya al-Risā</w:t>
      </w:r>
      <w:r w:rsidRPr="00AD15A5">
        <w:rPr>
          <w:rFonts w:ascii="Times New Roman" w:hAnsi="Times New Roman" w:cs="Times New Roman"/>
        </w:rPr>
        <w:t xml:space="preserve">lah. Lihat lebih lanjut Dr. Asafri Jaya Bakri, </w:t>
      </w:r>
      <w:r w:rsidR="00D64283">
        <w:rPr>
          <w:rFonts w:ascii="Times New Roman" w:hAnsi="Times New Roman" w:cs="Times New Roman"/>
          <w:i/>
          <w:iCs/>
        </w:rPr>
        <w:t>Konsep Maqāshid Syari’ah Menurut al-Syā</w:t>
      </w:r>
      <w:r w:rsidRPr="00AD15A5">
        <w:rPr>
          <w:rFonts w:ascii="Times New Roman" w:hAnsi="Times New Roman" w:cs="Times New Roman"/>
          <w:i/>
          <w:iCs/>
        </w:rPr>
        <w:t>tibi.</w:t>
      </w:r>
      <w:r w:rsidRPr="00AD15A5">
        <w:rPr>
          <w:rFonts w:ascii="Times New Roman" w:hAnsi="Times New Roman" w:cs="Times New Roman"/>
        </w:rPr>
        <w:t xml:space="preserve"> Ed. 1 (Cet. 1; </w:t>
      </w:r>
      <w:r w:rsidR="00D64283">
        <w:rPr>
          <w:rFonts w:ascii="Times New Roman" w:hAnsi="Times New Roman" w:cs="Times New Roman"/>
        </w:rPr>
        <w:t>J</w:t>
      </w:r>
      <w:r w:rsidRPr="00AD15A5">
        <w:rPr>
          <w:rFonts w:ascii="Times New Roman" w:hAnsi="Times New Roman" w:cs="Times New Roman"/>
        </w:rPr>
        <w:t>akarta: PT. Raja Grafindo Persada, 1996), h. 44-45.</w:t>
      </w:r>
    </w:p>
  </w:footnote>
  <w:footnote w:id="3">
    <w:p w:rsidR="009B2865" w:rsidRPr="00AD15A5" w:rsidRDefault="009B2865" w:rsidP="00AD15A5">
      <w:pPr>
        <w:pStyle w:val="FootnoteText"/>
        <w:ind w:firstLine="720"/>
        <w:jc w:val="both"/>
        <w:rPr>
          <w:rFonts w:ascii="Times New Roman" w:hAnsi="Times New Roman" w:cs="Times New Roman"/>
        </w:rPr>
      </w:pPr>
    </w:p>
    <w:p w:rsidR="009B2865" w:rsidRPr="00AD15A5" w:rsidRDefault="009B2865" w:rsidP="00F1274B">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w:t>
      </w:r>
      <w:r w:rsidR="00F1274B">
        <w:rPr>
          <w:rFonts w:ascii="Times New Roman" w:hAnsi="Times New Roman" w:cs="Times New Roman"/>
        </w:rPr>
        <w:t>S</w:t>
      </w:r>
      <w:r w:rsidRPr="00AD15A5">
        <w:rPr>
          <w:rFonts w:ascii="Times New Roman" w:hAnsi="Times New Roman" w:cs="Times New Roman"/>
        </w:rPr>
        <w:t xml:space="preserve">aid Aqil Husin al-Munawwir, </w:t>
      </w:r>
      <w:r w:rsidRPr="00AD15A5">
        <w:rPr>
          <w:rFonts w:ascii="Times New Roman" w:hAnsi="Times New Roman" w:cs="Times New Roman"/>
          <w:i/>
          <w:iCs/>
        </w:rPr>
        <w:t xml:space="preserve">Dimensi-dimensi Kehidupan dalam Perspektif Islam </w:t>
      </w:r>
      <w:r w:rsidRPr="00AD15A5">
        <w:rPr>
          <w:rFonts w:ascii="Times New Roman" w:hAnsi="Times New Roman" w:cs="Times New Roman"/>
        </w:rPr>
        <w:t xml:space="preserve">(Malang: Pascasarjana UNISMA, 2001), h. 30. </w:t>
      </w:r>
    </w:p>
  </w:footnote>
  <w:footnote w:id="4">
    <w:p w:rsidR="000B45C1" w:rsidRPr="000B45C1" w:rsidRDefault="000B45C1" w:rsidP="000B45C1">
      <w:pPr>
        <w:pStyle w:val="FootnoteText"/>
        <w:ind w:firstLine="567"/>
        <w:jc w:val="both"/>
        <w:rPr>
          <w:rFonts w:ascii="Times New Roman" w:hAnsi="Times New Roman" w:cs="Times New Roman"/>
          <w:lang w:val="id-ID"/>
        </w:rPr>
      </w:pPr>
      <w:r>
        <w:rPr>
          <w:rStyle w:val="FootnoteReference"/>
        </w:rPr>
        <w:footnoteRef/>
      </w:r>
      <w:r>
        <w:t xml:space="preserve"> </w:t>
      </w:r>
      <w:r w:rsidRPr="000B45C1">
        <w:rPr>
          <w:rFonts w:ascii="Times New Roman" w:hAnsi="Times New Roman" w:cs="Times New Roman"/>
        </w:rPr>
        <w:t xml:space="preserve">Asmawi, </w:t>
      </w:r>
      <w:r w:rsidRPr="000B45C1">
        <w:rPr>
          <w:rFonts w:ascii="Times New Roman" w:hAnsi="Times New Roman" w:cs="Times New Roman"/>
          <w:i/>
        </w:rPr>
        <w:t>“Konseptualisasi Teori Maslahah,”</w:t>
      </w:r>
      <w:r w:rsidRPr="000B45C1">
        <w:rPr>
          <w:rFonts w:ascii="Times New Roman" w:hAnsi="Times New Roman" w:cs="Times New Roman"/>
        </w:rPr>
        <w:t xml:space="preserve"> Jurnal Salam Filsafat dan Budaya Hukum Vol 12, no. 2 (Desember 2014): h. 314</w:t>
      </w:r>
    </w:p>
  </w:footnote>
  <w:footnote w:id="5">
    <w:p w:rsidR="003C6B8D" w:rsidRPr="003C6B8D" w:rsidRDefault="003C6B8D" w:rsidP="003C6B8D">
      <w:pPr>
        <w:pStyle w:val="FootnoteText"/>
        <w:ind w:firstLine="709"/>
        <w:jc w:val="both"/>
        <w:rPr>
          <w:rFonts w:ascii="Times New Roman" w:hAnsi="Times New Roman" w:cs="Times New Roman"/>
          <w:lang w:val="id-ID"/>
        </w:rPr>
      </w:pPr>
      <w:r w:rsidRPr="003C6B8D">
        <w:rPr>
          <w:rStyle w:val="FootnoteReference"/>
          <w:rFonts w:ascii="Times New Roman" w:hAnsi="Times New Roman" w:cs="Times New Roman"/>
        </w:rPr>
        <w:footnoteRef/>
      </w:r>
      <w:r w:rsidRPr="003C6B8D">
        <w:rPr>
          <w:rFonts w:ascii="Times New Roman" w:hAnsi="Times New Roman" w:cs="Times New Roman"/>
        </w:rPr>
        <w:t xml:space="preserve"> Amin Farih. “</w:t>
      </w:r>
      <w:r w:rsidRPr="003C6B8D">
        <w:rPr>
          <w:rFonts w:ascii="Times New Roman" w:hAnsi="Times New Roman" w:cs="Times New Roman"/>
          <w:i/>
        </w:rPr>
        <w:t>Reinterpretasi Maslahah Sebagai Metode Istinbât Hukum Islam: Studi Pemikiran Hukum Islam Abû Ishâq Ibrâhîm Al-Shâthibî</w:t>
      </w:r>
      <w:r w:rsidRPr="003C6B8D">
        <w:rPr>
          <w:rFonts w:ascii="Times New Roman" w:hAnsi="Times New Roman" w:cs="Times New Roman"/>
        </w:rPr>
        <w:t xml:space="preserve">.” Al-Ahkam 1, no. 25 (2015): h. </w:t>
      </w:r>
      <w:r w:rsidRPr="003C6B8D">
        <w:rPr>
          <w:rFonts w:ascii="Times New Roman" w:hAnsi="Times New Roman" w:cs="Times New Roman"/>
          <w:lang w:val="id-ID"/>
        </w:rPr>
        <w:t>54</w:t>
      </w:r>
    </w:p>
  </w:footnote>
  <w:footnote w:id="6">
    <w:p w:rsidR="009B2865" w:rsidRPr="003C6B8D" w:rsidRDefault="009B2865" w:rsidP="003C6B8D">
      <w:pPr>
        <w:pStyle w:val="FootnoteText"/>
        <w:jc w:val="both"/>
        <w:rPr>
          <w:rFonts w:ascii="Times New Roman" w:hAnsi="Times New Roman" w:cs="Times New Roman"/>
          <w:lang w:val="id-ID"/>
        </w:rPr>
      </w:pPr>
    </w:p>
    <w:p w:rsidR="009B2865" w:rsidRPr="00AD15A5" w:rsidRDefault="009B2865" w:rsidP="00AD15A5">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w:t>
      </w:r>
      <w:r w:rsidR="00BB2F5D" w:rsidRPr="00AD15A5">
        <w:rPr>
          <w:rFonts w:ascii="Times New Roman" w:hAnsi="Times New Roman" w:cs="Times New Roman"/>
        </w:rPr>
        <w:t xml:space="preserve">Lihat Yudian W. Asmin, </w:t>
      </w:r>
      <w:r w:rsidR="00BB2F5D" w:rsidRPr="00AD15A5">
        <w:rPr>
          <w:rFonts w:ascii="Times New Roman" w:hAnsi="Times New Roman" w:cs="Times New Roman"/>
          <w:i/>
          <w:iCs/>
        </w:rPr>
        <w:t>Filsafat Hukum Islam dan Perubahan Sosial.</w:t>
      </w:r>
      <w:r w:rsidR="00BB2F5D" w:rsidRPr="00AD15A5">
        <w:rPr>
          <w:rFonts w:ascii="Times New Roman" w:hAnsi="Times New Roman" w:cs="Times New Roman"/>
        </w:rPr>
        <w:t xml:space="preserve"> Diterjemahkan dari judul asli “Islamic Legal Philosofy A Study of Abu Ishaq al-Syatibi’s Life and Thought” karya Dr. Muhammad Khalid Mas’ud (Cet. 1; Yogyakarta: al-Ikhlas, 1995), h. 154-155. </w:t>
      </w:r>
      <w:r w:rsidRPr="00AD15A5">
        <w:rPr>
          <w:rFonts w:ascii="Times New Roman" w:hAnsi="Times New Roman" w:cs="Times New Roman"/>
        </w:rPr>
        <w:t xml:space="preserve"> </w:t>
      </w:r>
    </w:p>
  </w:footnote>
  <w:footnote w:id="7">
    <w:p w:rsidR="009B2865" w:rsidRPr="00AD15A5" w:rsidRDefault="009B2865" w:rsidP="00AD15A5">
      <w:pPr>
        <w:pStyle w:val="FootnoteText"/>
        <w:ind w:firstLine="720"/>
        <w:jc w:val="both"/>
        <w:rPr>
          <w:rFonts w:ascii="Times New Roman" w:hAnsi="Times New Roman" w:cs="Times New Roman"/>
        </w:rPr>
      </w:pPr>
    </w:p>
    <w:p w:rsidR="009B2865" w:rsidRPr="00AD15A5" w:rsidRDefault="005D0C6C" w:rsidP="00D64283">
      <w:pPr>
        <w:tabs>
          <w:tab w:val="left" w:pos="540"/>
        </w:tabs>
        <w:spacing w:line="240" w:lineRule="auto"/>
        <w:jc w:val="both"/>
        <w:rPr>
          <w:rFonts w:ascii="Times New Roman" w:hAnsi="Times New Roman" w:cs="Times New Roman"/>
          <w:sz w:val="20"/>
          <w:szCs w:val="20"/>
        </w:rPr>
      </w:pPr>
      <w:r>
        <w:rPr>
          <w:rFonts w:ascii="Times New Roman" w:hAnsi="Times New Roman" w:cs="Times New Roman"/>
          <w:sz w:val="20"/>
          <w:szCs w:val="20"/>
        </w:rPr>
        <w:tab/>
      </w:r>
      <w:r w:rsidR="009B2865" w:rsidRPr="00AD15A5">
        <w:rPr>
          <w:rFonts w:ascii="Times New Roman" w:hAnsi="Times New Roman" w:cs="Times New Roman"/>
          <w:sz w:val="20"/>
          <w:szCs w:val="20"/>
        </w:rPr>
        <w:tab/>
      </w:r>
      <w:r w:rsidR="009B2865" w:rsidRPr="00AD15A5">
        <w:rPr>
          <w:rStyle w:val="FootnoteReference"/>
          <w:rFonts w:ascii="Times New Roman" w:hAnsi="Times New Roman" w:cs="Times New Roman"/>
          <w:sz w:val="20"/>
          <w:szCs w:val="20"/>
        </w:rPr>
        <w:footnoteRef/>
      </w:r>
      <w:r w:rsidR="009B2865" w:rsidRPr="00AD15A5">
        <w:rPr>
          <w:rFonts w:ascii="Times New Roman" w:hAnsi="Times New Roman" w:cs="Times New Roman"/>
          <w:sz w:val="20"/>
          <w:szCs w:val="20"/>
        </w:rPr>
        <w:t xml:space="preserve"> M</w:t>
      </w:r>
      <w:r w:rsidR="00D64283">
        <w:rPr>
          <w:rFonts w:ascii="Times New Roman" w:hAnsi="Times New Roman" w:cs="Times New Roman"/>
          <w:sz w:val="20"/>
          <w:szCs w:val="20"/>
        </w:rPr>
        <w:t>ā</w:t>
      </w:r>
      <w:r w:rsidR="009B2865" w:rsidRPr="00AD15A5">
        <w:rPr>
          <w:rFonts w:ascii="Times New Roman" w:hAnsi="Times New Roman" w:cs="Times New Roman"/>
          <w:sz w:val="20"/>
          <w:szCs w:val="20"/>
        </w:rPr>
        <w:t>lik bin Anas al-Ashb</w:t>
      </w:r>
      <w:r w:rsidR="00D64283">
        <w:rPr>
          <w:rFonts w:ascii="Times New Roman" w:hAnsi="Times New Roman" w:cs="Times New Roman"/>
          <w:sz w:val="20"/>
          <w:szCs w:val="20"/>
        </w:rPr>
        <w:t>āhi al-Madā</w:t>
      </w:r>
      <w:r w:rsidR="009B2865" w:rsidRPr="00AD15A5">
        <w:rPr>
          <w:rFonts w:ascii="Times New Roman" w:hAnsi="Times New Roman" w:cs="Times New Roman"/>
          <w:sz w:val="20"/>
          <w:szCs w:val="20"/>
        </w:rPr>
        <w:t>ni lahir pada tahun 93 H dan wafat pada tahun 179 H. Ia menghabiskan umurnya di Madinah dan tidak pernah ke mana-mana kecuali berhaji ke Mekah. Karyanya yang terkenal adalah al-Muwatha’ sebuah kitab hadis bergaya fiqh atau kitab fiqh bergaya hadis. Inilah kitab hadis dan fiqh tertua yang memuat tidak kuran</w:t>
      </w:r>
      <w:r w:rsidR="00D64283">
        <w:rPr>
          <w:rFonts w:ascii="Times New Roman" w:hAnsi="Times New Roman" w:cs="Times New Roman"/>
          <w:sz w:val="20"/>
          <w:szCs w:val="20"/>
        </w:rPr>
        <w:t>g 132 hadis yang diriwayatkan Mā</w:t>
      </w:r>
      <w:r w:rsidR="009B2865" w:rsidRPr="00AD15A5">
        <w:rPr>
          <w:rFonts w:ascii="Times New Roman" w:hAnsi="Times New Roman" w:cs="Times New Roman"/>
          <w:sz w:val="20"/>
          <w:szCs w:val="20"/>
        </w:rPr>
        <w:t xml:space="preserve">lik dari al-Zuhri dan tidak kurang dari 80 hadis yang diperoleh dari Nafi Maula Ibn Umar. Lihat lebih lanjut Dr. Muh. Zuhri, </w:t>
      </w:r>
      <w:r w:rsidR="009B2865" w:rsidRPr="00AD15A5">
        <w:rPr>
          <w:rFonts w:ascii="Times New Roman" w:hAnsi="Times New Roman" w:cs="Times New Roman"/>
          <w:i/>
          <w:iCs/>
          <w:sz w:val="20"/>
          <w:szCs w:val="20"/>
        </w:rPr>
        <w:t>Hukum Islam dalam Lintasan Sejarah.</w:t>
      </w:r>
      <w:r w:rsidR="009B2865" w:rsidRPr="00AD15A5">
        <w:rPr>
          <w:rFonts w:ascii="Times New Roman" w:hAnsi="Times New Roman" w:cs="Times New Roman"/>
          <w:sz w:val="20"/>
          <w:szCs w:val="20"/>
        </w:rPr>
        <w:t xml:space="preserve"> Ed. 1 (Cet. 1; Jakarta: PT. Raja Grafindo Persada, 1996), h. 105. Lihat juga Mun’im A. Sirri,</w:t>
      </w:r>
      <w:r w:rsidR="009B2865" w:rsidRPr="00AD15A5">
        <w:rPr>
          <w:rFonts w:ascii="Times New Roman" w:hAnsi="Times New Roman" w:cs="Times New Roman"/>
          <w:i/>
          <w:iCs/>
          <w:sz w:val="20"/>
          <w:szCs w:val="20"/>
        </w:rPr>
        <w:t xml:space="preserve"> Sejarah Fiqh Islam </w:t>
      </w:r>
      <w:r w:rsidR="009B2865" w:rsidRPr="00AD15A5">
        <w:rPr>
          <w:rFonts w:ascii="Times New Roman" w:hAnsi="Times New Roman" w:cs="Times New Roman"/>
          <w:sz w:val="20"/>
          <w:szCs w:val="20"/>
        </w:rPr>
        <w:t>(Cet. 1; Surabaya: Risalah Gusti, 1995), h. 65.</w:t>
      </w:r>
    </w:p>
  </w:footnote>
  <w:footnote w:id="8">
    <w:p w:rsidR="00F1274B" w:rsidRDefault="00F1274B" w:rsidP="00D64283">
      <w:pPr>
        <w:pStyle w:val="FootnoteText"/>
        <w:ind w:firstLine="720"/>
        <w:jc w:val="both"/>
        <w:rPr>
          <w:rFonts w:ascii="Times New Roman" w:hAnsi="Times New Roman" w:cs="Times New Roman"/>
        </w:rPr>
      </w:pPr>
    </w:p>
    <w:p w:rsidR="009B2865" w:rsidRPr="00AD15A5" w:rsidRDefault="009B2865" w:rsidP="00F1274B">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Menurut istilah ahli ush</w:t>
      </w:r>
      <w:r w:rsidR="00D64283">
        <w:rPr>
          <w:rFonts w:ascii="Times New Roman" w:hAnsi="Times New Roman" w:cs="Times New Roman"/>
        </w:rPr>
        <w:t>ū</w:t>
      </w:r>
      <w:r w:rsidRPr="00AD15A5">
        <w:rPr>
          <w:rFonts w:ascii="Times New Roman" w:hAnsi="Times New Roman" w:cs="Times New Roman"/>
        </w:rPr>
        <w:t>l, istislah ialah menetapkan suatu hukum bagi masalah yang tidak ada nashnya dan tidak ada ijma berdasarkan kemaslahatan murni atau maslahat yang tidak dijelaskan syari’at dan tidak dibatalkan oleh syari’at. Sebagian ahli ush</w:t>
      </w:r>
      <w:r w:rsidR="00D64283">
        <w:rPr>
          <w:rFonts w:ascii="Times New Roman" w:hAnsi="Times New Roman" w:cs="Times New Roman"/>
        </w:rPr>
        <w:t>ū</w:t>
      </w:r>
      <w:r w:rsidRPr="00AD15A5">
        <w:rPr>
          <w:rFonts w:ascii="Times New Roman" w:hAnsi="Times New Roman" w:cs="Times New Roman"/>
        </w:rPr>
        <w:t>l memberi istilah dengan maslahat dan para ulama Han</w:t>
      </w:r>
      <w:r w:rsidR="00D64283">
        <w:rPr>
          <w:rFonts w:ascii="Times New Roman" w:hAnsi="Times New Roman" w:cs="Times New Roman"/>
        </w:rPr>
        <w:t>ā</w:t>
      </w:r>
      <w:r w:rsidRPr="00AD15A5">
        <w:rPr>
          <w:rFonts w:ascii="Times New Roman" w:hAnsi="Times New Roman" w:cs="Times New Roman"/>
        </w:rPr>
        <w:t>bilah menggunakan istilah istislah dan ahli ush</w:t>
      </w:r>
      <w:r w:rsidR="00D64283">
        <w:rPr>
          <w:rFonts w:ascii="Times New Roman" w:hAnsi="Times New Roman" w:cs="Times New Roman"/>
        </w:rPr>
        <w:t>ūl lainnya termasuk Malikī</w:t>
      </w:r>
      <w:r w:rsidRPr="00AD15A5">
        <w:rPr>
          <w:rFonts w:ascii="Times New Roman" w:hAnsi="Times New Roman" w:cs="Times New Roman"/>
        </w:rPr>
        <w:t xml:space="preserve"> mengistilahkannya dengan maslahatul mursalah. Lihat lebih lanjut Abdul Wahab Khall</w:t>
      </w:r>
      <w:r w:rsidR="00D64283">
        <w:rPr>
          <w:rFonts w:ascii="Times New Roman" w:hAnsi="Times New Roman" w:cs="Times New Roman"/>
        </w:rPr>
        <w:t>ā</w:t>
      </w:r>
      <w:r w:rsidRPr="00AD15A5">
        <w:rPr>
          <w:rFonts w:ascii="Times New Roman" w:hAnsi="Times New Roman" w:cs="Times New Roman"/>
        </w:rPr>
        <w:t xml:space="preserve">f, </w:t>
      </w:r>
      <w:r w:rsidRPr="00AD15A5">
        <w:rPr>
          <w:rFonts w:ascii="Times New Roman" w:hAnsi="Times New Roman" w:cs="Times New Roman"/>
          <w:i/>
          <w:iCs/>
        </w:rPr>
        <w:t xml:space="preserve">Sumber-sumber Hukum Islam. </w:t>
      </w:r>
      <w:r w:rsidRPr="00AD15A5">
        <w:rPr>
          <w:rFonts w:ascii="Times New Roman" w:hAnsi="Times New Roman" w:cs="Times New Roman"/>
        </w:rPr>
        <w:t>Diterjemahkan oleh Anwar Rasyidi d</w:t>
      </w:r>
      <w:r w:rsidR="00D64283">
        <w:rPr>
          <w:rFonts w:ascii="Times New Roman" w:hAnsi="Times New Roman" w:cs="Times New Roman"/>
        </w:rPr>
        <w:t>ari Masādiru al-Tasyri al-Islāmī Fi Ma Lassa Fī</w:t>
      </w:r>
      <w:r w:rsidRPr="00AD15A5">
        <w:rPr>
          <w:rFonts w:ascii="Times New Roman" w:hAnsi="Times New Roman" w:cs="Times New Roman"/>
        </w:rPr>
        <w:t>hi (Cet. III; Bandung: Risalah, 1984), h. 124.</w:t>
      </w:r>
    </w:p>
  </w:footnote>
  <w:footnote w:id="9">
    <w:p w:rsidR="00F1274B" w:rsidRPr="00AD15A5" w:rsidRDefault="00F1274B" w:rsidP="00F1274B">
      <w:pPr>
        <w:pStyle w:val="FootnoteText"/>
        <w:jc w:val="both"/>
        <w:rPr>
          <w:rFonts w:ascii="Times New Roman" w:hAnsi="Times New Roman" w:cs="Times New Roman"/>
        </w:rPr>
      </w:pPr>
    </w:p>
    <w:p w:rsidR="00F1274B" w:rsidRPr="00AD15A5" w:rsidRDefault="00F1274B" w:rsidP="00F1274B">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00AC0632">
        <w:rPr>
          <w:rFonts w:ascii="Times New Roman" w:hAnsi="Times New Roman" w:cs="Times New Roman"/>
        </w:rPr>
        <w:t xml:space="preserve"> </w:t>
      </w:r>
      <w:r w:rsidRPr="00AD15A5">
        <w:rPr>
          <w:rFonts w:ascii="Times New Roman" w:hAnsi="Times New Roman" w:cs="Times New Roman"/>
        </w:rPr>
        <w:t xml:space="preserve">Lihat Abi Ishaq al-Syatibi, </w:t>
      </w:r>
      <w:r w:rsidRPr="00AD15A5">
        <w:rPr>
          <w:rFonts w:ascii="Times New Roman" w:hAnsi="Times New Roman" w:cs="Times New Roman"/>
          <w:i/>
          <w:iCs/>
        </w:rPr>
        <w:t xml:space="preserve">Al-Muwafaqat Fi Ushul al-Syari’ah. </w:t>
      </w:r>
      <w:r w:rsidRPr="00AD15A5">
        <w:rPr>
          <w:rFonts w:ascii="Times New Roman" w:hAnsi="Times New Roman" w:cs="Times New Roman"/>
        </w:rPr>
        <w:t xml:space="preserve">Jilid II (Beirut: Lubnan, tt), h. 8-12. Lihat juga Nasrun Haroen, MA, </w:t>
      </w:r>
      <w:r w:rsidRPr="00AD15A5">
        <w:rPr>
          <w:rFonts w:ascii="Times New Roman" w:hAnsi="Times New Roman" w:cs="Times New Roman"/>
          <w:i/>
          <w:iCs/>
        </w:rPr>
        <w:t xml:space="preserve">Ushul Fiqh </w:t>
      </w:r>
      <w:r w:rsidRPr="00AD15A5">
        <w:rPr>
          <w:rFonts w:ascii="Times New Roman" w:hAnsi="Times New Roman" w:cs="Times New Roman"/>
        </w:rPr>
        <w:t xml:space="preserve">(Cet. 1; Jakarta; Logos, 1992), h. 122. </w:t>
      </w:r>
    </w:p>
    <w:p w:rsidR="00F1274B" w:rsidRPr="00AD15A5" w:rsidRDefault="00F1274B" w:rsidP="00F1274B">
      <w:pPr>
        <w:pStyle w:val="FootnoteText"/>
        <w:ind w:firstLine="720"/>
        <w:jc w:val="both"/>
        <w:rPr>
          <w:rFonts w:ascii="Times New Roman" w:hAnsi="Times New Roman" w:cs="Times New Roman"/>
        </w:rPr>
      </w:pPr>
    </w:p>
  </w:footnote>
  <w:footnote w:id="10">
    <w:p w:rsidR="009B2865" w:rsidRPr="007C1986" w:rsidRDefault="009B2865" w:rsidP="007C1986">
      <w:pPr>
        <w:pStyle w:val="FootnoteText"/>
        <w:jc w:val="both"/>
        <w:rPr>
          <w:rFonts w:ascii="Times New Roman" w:hAnsi="Times New Roman" w:cs="Times New Roman"/>
          <w:lang w:val="id-ID"/>
        </w:rPr>
      </w:pPr>
    </w:p>
    <w:p w:rsidR="009B2865" w:rsidRDefault="009B2865" w:rsidP="00AD15A5">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Lihat Syarmin Syukur, </w:t>
      </w:r>
      <w:r w:rsidRPr="00AD15A5">
        <w:rPr>
          <w:rFonts w:ascii="Times New Roman" w:hAnsi="Times New Roman" w:cs="Times New Roman"/>
          <w:i/>
          <w:iCs/>
        </w:rPr>
        <w:t xml:space="preserve">Sumber-sumber Hukum Islam </w:t>
      </w:r>
      <w:r w:rsidRPr="00AD15A5">
        <w:rPr>
          <w:rFonts w:ascii="Times New Roman" w:hAnsi="Times New Roman" w:cs="Times New Roman"/>
        </w:rPr>
        <w:t>(Cet. 1; Surabaya: al-Ikhlas, 1993), h.197-198.</w:t>
      </w:r>
    </w:p>
    <w:p w:rsidR="00AD15A5" w:rsidRPr="00AD15A5" w:rsidRDefault="00AD15A5" w:rsidP="00AD15A5">
      <w:pPr>
        <w:pStyle w:val="FootnoteText"/>
        <w:ind w:firstLine="720"/>
        <w:jc w:val="both"/>
        <w:rPr>
          <w:rFonts w:ascii="Times New Roman" w:hAnsi="Times New Roman" w:cs="Times New Roman"/>
        </w:rPr>
      </w:pPr>
    </w:p>
  </w:footnote>
  <w:footnote w:id="11">
    <w:p w:rsidR="009B2865" w:rsidRPr="00AD15A5" w:rsidRDefault="009B2865" w:rsidP="00AD15A5">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Yusuf al-Qardhawi, </w:t>
      </w:r>
      <w:r w:rsidRPr="00AD15A5">
        <w:rPr>
          <w:rFonts w:ascii="Times New Roman" w:hAnsi="Times New Roman" w:cs="Times New Roman"/>
          <w:i/>
          <w:iCs/>
        </w:rPr>
        <w:t>Membumikan Syari’at Islam</w:t>
      </w:r>
      <w:r w:rsidRPr="00AD15A5">
        <w:rPr>
          <w:rFonts w:ascii="Times New Roman" w:hAnsi="Times New Roman" w:cs="Times New Roman"/>
        </w:rPr>
        <w:t xml:space="preserve"> (Cet. 1; Surabaya: Dunia Ilmu Offset), h. 173.</w:t>
      </w:r>
    </w:p>
  </w:footnote>
  <w:footnote w:id="12">
    <w:p w:rsidR="009B2865" w:rsidRPr="00AD15A5" w:rsidRDefault="009B2865" w:rsidP="00AD15A5">
      <w:pPr>
        <w:pStyle w:val="FootnoteText"/>
        <w:jc w:val="both"/>
        <w:rPr>
          <w:rFonts w:ascii="Times New Roman" w:hAnsi="Times New Roman" w:cs="Times New Roman"/>
        </w:rPr>
      </w:pPr>
    </w:p>
    <w:p w:rsidR="009B2865" w:rsidRPr="00AD15A5" w:rsidRDefault="009B2865" w:rsidP="00F1274B">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Nasrun,</w:t>
      </w:r>
      <w:r w:rsidRPr="00AD15A5">
        <w:rPr>
          <w:rFonts w:ascii="Times New Roman" w:hAnsi="Times New Roman" w:cs="Times New Roman"/>
          <w:i/>
          <w:iCs/>
        </w:rPr>
        <w:t xml:space="preserve"> op. cit.,</w:t>
      </w:r>
      <w:r w:rsidRPr="00AD15A5">
        <w:rPr>
          <w:rFonts w:ascii="Times New Roman" w:hAnsi="Times New Roman" w:cs="Times New Roman"/>
        </w:rPr>
        <w:t xml:space="preserve"> h.122-123. Lihat juga Dr. Fathurrahman Djamil, MA, </w:t>
      </w:r>
      <w:r w:rsidRPr="00AD15A5">
        <w:rPr>
          <w:rFonts w:ascii="Times New Roman" w:hAnsi="Times New Roman" w:cs="Times New Roman"/>
          <w:i/>
          <w:iCs/>
        </w:rPr>
        <w:t xml:space="preserve">Filsafat Hukum Islam </w:t>
      </w:r>
      <w:r w:rsidRPr="00AD15A5">
        <w:rPr>
          <w:rFonts w:ascii="Times New Roman" w:hAnsi="Times New Roman" w:cs="Times New Roman"/>
        </w:rPr>
        <w:t xml:space="preserve">(Cet. 1; Jakarta: Logos Wacana Ilmu, 1997), h. 142. </w:t>
      </w:r>
    </w:p>
    <w:p w:rsidR="009B2865" w:rsidRPr="00AD15A5" w:rsidRDefault="009B2865" w:rsidP="00AD15A5">
      <w:pPr>
        <w:pStyle w:val="FootnoteText"/>
        <w:ind w:firstLine="720"/>
        <w:jc w:val="both"/>
        <w:rPr>
          <w:rFonts w:ascii="Times New Roman" w:hAnsi="Times New Roman" w:cs="Times New Roman"/>
        </w:rPr>
      </w:pPr>
    </w:p>
  </w:footnote>
  <w:footnote w:id="13">
    <w:p w:rsidR="00F1274B" w:rsidRDefault="00F1274B" w:rsidP="00AD15A5">
      <w:pPr>
        <w:pStyle w:val="FootnoteText"/>
        <w:ind w:firstLine="720"/>
        <w:jc w:val="both"/>
        <w:rPr>
          <w:rFonts w:ascii="Times New Roman" w:hAnsi="Times New Roman" w:cs="Times New Roman"/>
        </w:rPr>
      </w:pPr>
    </w:p>
    <w:p w:rsidR="009B2865" w:rsidRPr="00AD15A5" w:rsidRDefault="009B2865" w:rsidP="00AD15A5">
      <w:pPr>
        <w:pStyle w:val="FootnoteText"/>
        <w:ind w:firstLine="720"/>
        <w:jc w:val="both"/>
        <w:rPr>
          <w:rFonts w:ascii="Times New Roman" w:hAnsi="Times New Roman" w:cs="Times New Roman"/>
        </w:rPr>
      </w:pPr>
      <w:r w:rsidRPr="00AD15A5">
        <w:rPr>
          <w:rStyle w:val="FootnoteReference"/>
          <w:rFonts w:ascii="Times New Roman" w:hAnsi="Times New Roman" w:cs="Times New Roman"/>
        </w:rPr>
        <w:footnoteRef/>
      </w:r>
      <w:r w:rsidRPr="00AD15A5">
        <w:rPr>
          <w:rFonts w:ascii="Times New Roman" w:hAnsi="Times New Roman" w:cs="Times New Roman"/>
        </w:rPr>
        <w:t xml:space="preserve"> Muhammad Abu Zahrah, </w:t>
      </w:r>
      <w:r w:rsidRPr="00AD15A5">
        <w:rPr>
          <w:rFonts w:ascii="Times New Roman" w:hAnsi="Times New Roman" w:cs="Times New Roman"/>
          <w:i/>
          <w:iCs/>
        </w:rPr>
        <w:t>Ushul Fiqh</w:t>
      </w:r>
      <w:r w:rsidRPr="00AD15A5">
        <w:rPr>
          <w:rFonts w:ascii="Times New Roman" w:hAnsi="Times New Roman" w:cs="Times New Roman"/>
        </w:rPr>
        <w:t xml:space="preserve"> (Cet. 2; Jakarta: PT. Pustaka Firdaus, 1994), h. 433-434. </w:t>
      </w:r>
    </w:p>
  </w:footnote>
  <w:footnote w:id="14">
    <w:p w:rsidR="006A503D" w:rsidRPr="000F30FF" w:rsidRDefault="006A503D" w:rsidP="006A503D">
      <w:pPr>
        <w:pStyle w:val="FootnoteText"/>
        <w:ind w:firstLine="720"/>
        <w:rPr>
          <w:rFonts w:ascii="Times New Roman" w:hAnsi="Times New Roman" w:cs="Times New Roman"/>
        </w:rPr>
      </w:pPr>
    </w:p>
    <w:p w:rsidR="006A503D" w:rsidRPr="000F30FF" w:rsidRDefault="006A503D" w:rsidP="006A503D">
      <w:pPr>
        <w:pStyle w:val="FootnoteText"/>
        <w:ind w:firstLine="720"/>
        <w:rPr>
          <w:rFonts w:ascii="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Sharif, M.</w:t>
      </w:r>
      <w:r>
        <w:rPr>
          <w:rFonts w:ascii="Times New Roman" w:hAnsi="Times New Roman" w:cs="Times New Roman"/>
        </w:rPr>
        <w:t xml:space="preserve"> </w:t>
      </w:r>
      <w:r w:rsidRPr="000F30FF">
        <w:rPr>
          <w:rFonts w:ascii="Times New Roman" w:hAnsi="Times New Roman" w:cs="Times New Roman"/>
        </w:rPr>
        <w:t xml:space="preserve">M, </w:t>
      </w:r>
      <w:r w:rsidRPr="000F30FF">
        <w:rPr>
          <w:rFonts w:ascii="Times New Roman" w:hAnsi="Times New Roman" w:cs="Times New Roman"/>
          <w:i/>
          <w:iCs/>
        </w:rPr>
        <w:t>A History of Muslim Philosophy</w:t>
      </w:r>
      <w:r w:rsidRPr="000F30FF">
        <w:rPr>
          <w:rFonts w:ascii="Times New Roman" w:hAnsi="Times New Roman" w:cs="Times New Roman"/>
        </w:rPr>
        <w:t xml:space="preserve"> (tt: tp, 1963), h. 63. </w:t>
      </w:r>
    </w:p>
  </w:footnote>
  <w:footnote w:id="15">
    <w:p w:rsidR="006A503D" w:rsidRPr="000F30FF" w:rsidRDefault="006A503D" w:rsidP="006A503D">
      <w:pPr>
        <w:pStyle w:val="FootnoteText"/>
        <w:rPr>
          <w:rFonts w:ascii="Times New Roman" w:hAnsi="Times New Roman" w:cs="Times New Roman"/>
        </w:rPr>
      </w:pPr>
    </w:p>
    <w:p w:rsidR="006A503D" w:rsidRPr="000F30FF" w:rsidRDefault="006A503D" w:rsidP="006A503D">
      <w:pPr>
        <w:pStyle w:val="FootnoteText"/>
        <w:ind w:firstLine="720"/>
        <w:jc w:val="both"/>
        <w:rPr>
          <w:rFonts w:ascii="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Dr. Muh. Zuhri, </w:t>
      </w:r>
      <w:r w:rsidRPr="000F30FF">
        <w:rPr>
          <w:rFonts w:ascii="Times New Roman" w:hAnsi="Times New Roman" w:cs="Times New Roman"/>
          <w:i/>
          <w:iCs/>
        </w:rPr>
        <w:t>Hukum Islam dalam Lintasan Sejarah</w:t>
      </w:r>
      <w:r w:rsidRPr="000F30FF">
        <w:rPr>
          <w:rFonts w:ascii="Times New Roman" w:hAnsi="Times New Roman" w:cs="Times New Roman"/>
        </w:rPr>
        <w:t>. Ed. 1 (Cet. 1; Jakarta: PT. Raja Grafindo Persada, 1996), h. 132-133.</w:t>
      </w:r>
    </w:p>
  </w:footnote>
  <w:footnote w:id="16">
    <w:p w:rsidR="006A503D" w:rsidRPr="000F30FF" w:rsidRDefault="006A503D" w:rsidP="006A503D">
      <w:pPr>
        <w:pStyle w:val="FootnoteText"/>
        <w:ind w:firstLine="720"/>
        <w:rPr>
          <w:rFonts w:ascii="Times New Roman" w:hAnsi="Times New Roman" w:cs="Times New Roman"/>
        </w:rPr>
      </w:pPr>
    </w:p>
    <w:p w:rsidR="006A503D" w:rsidRPr="000F30FF" w:rsidRDefault="006A503D" w:rsidP="006A503D">
      <w:pPr>
        <w:pStyle w:val="FootnoteText"/>
        <w:spacing w:after="120"/>
        <w:ind w:firstLine="720"/>
        <w:jc w:val="both"/>
        <w:rPr>
          <w:rFonts w:ascii="Times New Roman" w:eastAsia="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K</w:t>
      </w:r>
      <w:r w:rsidRPr="000F30FF">
        <w:rPr>
          <w:rFonts w:ascii="Times New Roman" w:eastAsia="Times New Roman" w:hAnsi="Times New Roman" w:cs="Times New Roman"/>
        </w:rPr>
        <w:t xml:space="preserve">ata ‘illat </w:t>
      </w:r>
      <w:r w:rsidRPr="000F30FF">
        <w:rPr>
          <w:rFonts w:ascii="Times New Roman" w:eastAsia="Times New Roman" w:hAnsi="Times New Roman" w:cs="Times New Roman"/>
          <w:i/>
          <w:iCs/>
        </w:rPr>
        <w:t>(al-‘illat)</w:t>
      </w:r>
      <w:r w:rsidRPr="000F30FF">
        <w:rPr>
          <w:rFonts w:ascii="Times New Roman" w:eastAsia="Times New Roman" w:hAnsi="Times New Roman" w:cs="Times New Roman"/>
        </w:rPr>
        <w:t xml:space="preserve"> belum ada padanannya dalan bahasa Indonesia. Oleh karena itu, untuk penyebutan selanjutnya dalam tulisan ini akan tetap ditulis atau dibaca dengan sebutan ‘illat. Hal ini dimaksudkan agar tidak bergeser dari arti dasarnya. Dalam kajian Ushul Fiqh kata ‘illat diartikan dengan sesuatu yang menjadi pautan hukum. Artinya suatu ketetapan hukum dari Syâri‘ terpaut dengan ‘illat (alasan) yang melatarbelakanginya. Lihat Abd al-Wahhab Khallaf, </w:t>
      </w:r>
      <w:r w:rsidRPr="000F30FF">
        <w:rPr>
          <w:rFonts w:ascii="Times New Roman" w:eastAsia="Times New Roman" w:hAnsi="Times New Roman" w:cs="Times New Roman"/>
          <w:i/>
          <w:iCs/>
        </w:rPr>
        <w:t>Mashadir al-Tasyrî‘ al-Islami fî Ma La Nash Fîh</w:t>
      </w:r>
      <w:r w:rsidRPr="000F30FF">
        <w:rPr>
          <w:rFonts w:ascii="Times New Roman" w:eastAsia="Times New Roman" w:hAnsi="Times New Roman" w:cs="Times New Roman"/>
        </w:rPr>
        <w:t xml:space="preserve"> (Cet. VI; Kuwait: Dar al-Qolam li al-Nasyr wa al-Tawzi’, 1993), h. 49. Lihat juga dalam Dr. Nasrun Haroen, MA. </w:t>
      </w:r>
      <w:r w:rsidRPr="000F30FF">
        <w:rPr>
          <w:rFonts w:ascii="Times New Roman" w:eastAsia="Times New Roman" w:hAnsi="Times New Roman" w:cs="Times New Roman"/>
          <w:i/>
          <w:iCs/>
        </w:rPr>
        <w:t xml:space="preserve">Ushul Fiqh </w:t>
      </w:r>
      <w:r w:rsidRPr="000F30FF">
        <w:rPr>
          <w:rFonts w:ascii="Times New Roman" w:eastAsia="Times New Roman" w:hAnsi="Times New Roman" w:cs="Times New Roman"/>
        </w:rPr>
        <w:t xml:space="preserve">(Cet. 1; Jakarta: Logos, 1996) h. 76-98. Bandingkan dengan Dr. Fattrahman Djamil, MA, </w:t>
      </w:r>
      <w:r w:rsidRPr="000F30FF">
        <w:rPr>
          <w:rFonts w:ascii="Times New Roman" w:eastAsia="Times New Roman" w:hAnsi="Times New Roman" w:cs="Times New Roman"/>
          <w:i/>
          <w:iCs/>
        </w:rPr>
        <w:t xml:space="preserve">Filsafat Hukum Islam </w:t>
      </w:r>
      <w:r w:rsidRPr="000F30FF">
        <w:rPr>
          <w:rFonts w:ascii="Times New Roman" w:eastAsia="Times New Roman" w:hAnsi="Times New Roman" w:cs="Times New Roman"/>
        </w:rPr>
        <w:t>(Cet. 1; Jakarta: Wacana Ilmu, 1997), h. 3.</w:t>
      </w:r>
    </w:p>
    <w:p w:rsidR="006A503D" w:rsidRPr="000F30FF" w:rsidRDefault="006A503D" w:rsidP="006A503D">
      <w:pPr>
        <w:pStyle w:val="FootnoteText"/>
        <w:ind w:firstLine="720"/>
        <w:rPr>
          <w:rFonts w:ascii="Times New Roman" w:hAnsi="Times New Roman" w:cs="Times New Roman"/>
        </w:rPr>
      </w:pPr>
    </w:p>
  </w:footnote>
  <w:footnote w:id="17">
    <w:p w:rsidR="005F54CD" w:rsidRPr="005F54CD" w:rsidRDefault="005F54CD" w:rsidP="005F54CD">
      <w:pPr>
        <w:pStyle w:val="FootnoteText"/>
        <w:ind w:firstLine="567"/>
        <w:jc w:val="both"/>
        <w:rPr>
          <w:rFonts w:ascii="Times New Roman" w:hAnsi="Times New Roman" w:cs="Times New Roman"/>
          <w:lang w:val="id-ID"/>
        </w:rPr>
      </w:pPr>
      <w:r>
        <w:rPr>
          <w:rStyle w:val="FootnoteReference"/>
        </w:rPr>
        <w:footnoteRef/>
      </w:r>
      <w:r>
        <w:t xml:space="preserve"> </w:t>
      </w:r>
      <w:r w:rsidRPr="005F54CD">
        <w:t xml:space="preserve"> </w:t>
      </w:r>
      <w:r w:rsidRPr="005F54CD">
        <w:rPr>
          <w:rFonts w:ascii="Times New Roman" w:hAnsi="Times New Roman" w:cs="Times New Roman"/>
        </w:rPr>
        <w:t xml:space="preserve">Muksana Pasaribu, </w:t>
      </w:r>
      <w:r w:rsidRPr="005F54CD">
        <w:rPr>
          <w:rFonts w:ascii="Times New Roman" w:hAnsi="Times New Roman" w:cs="Times New Roman"/>
          <w:i/>
        </w:rPr>
        <w:t>“Maslahat dan Perkembangannya Sebagai Dasar Penetapan Hukum Islam,”</w:t>
      </w:r>
      <w:r w:rsidRPr="005F54CD">
        <w:rPr>
          <w:rFonts w:ascii="Times New Roman" w:hAnsi="Times New Roman" w:cs="Times New Roman"/>
        </w:rPr>
        <w:t xml:space="preserve"> Jurnal Justitia 1, no. 4, (Desember 2014): h. 352</w:t>
      </w:r>
    </w:p>
  </w:footnote>
  <w:footnote w:id="18">
    <w:p w:rsidR="006A503D" w:rsidRPr="005F54CD" w:rsidRDefault="006A503D" w:rsidP="005F54CD">
      <w:pPr>
        <w:pStyle w:val="FootnoteText"/>
        <w:jc w:val="both"/>
        <w:rPr>
          <w:rFonts w:ascii="Times New Roman" w:hAnsi="Times New Roman" w:cs="Times New Roman"/>
          <w:lang w:val="id-ID"/>
        </w:rPr>
      </w:pPr>
    </w:p>
    <w:p w:rsidR="006A503D" w:rsidRPr="000F30FF" w:rsidRDefault="006A503D" w:rsidP="006A503D">
      <w:pPr>
        <w:pStyle w:val="FootnoteText"/>
        <w:ind w:firstLine="720"/>
        <w:jc w:val="both"/>
        <w:rPr>
          <w:rFonts w:ascii="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Abi Hamid Muhammad bin Muhammad al-Ghazali, </w:t>
      </w:r>
      <w:r w:rsidRPr="000F30FF">
        <w:rPr>
          <w:rFonts w:ascii="Times New Roman" w:hAnsi="Times New Roman" w:cs="Times New Roman"/>
          <w:i/>
          <w:iCs/>
        </w:rPr>
        <w:t>al-Mustasfa’ Min Ilmi al-Ushul.</w:t>
      </w:r>
      <w:r w:rsidRPr="000F30FF">
        <w:rPr>
          <w:rFonts w:ascii="Times New Roman" w:hAnsi="Times New Roman" w:cs="Times New Roman"/>
        </w:rPr>
        <w:t xml:space="preserve"> Jilid 1 (tp : Dar al-Fikr, t. th), h. 286-287.</w:t>
      </w:r>
    </w:p>
  </w:footnote>
  <w:footnote w:id="19">
    <w:p w:rsidR="006A503D" w:rsidRPr="000F30FF" w:rsidRDefault="006A503D" w:rsidP="006A503D">
      <w:pPr>
        <w:pStyle w:val="FootnoteText"/>
        <w:ind w:firstLine="720"/>
        <w:jc w:val="both"/>
        <w:rPr>
          <w:rFonts w:ascii="Times New Roman" w:hAnsi="Times New Roman" w:cs="Times New Roman"/>
        </w:rPr>
      </w:pPr>
    </w:p>
    <w:p w:rsidR="006A503D" w:rsidRPr="000F30FF" w:rsidRDefault="006A503D" w:rsidP="006A503D">
      <w:pPr>
        <w:pStyle w:val="FootnoteText"/>
        <w:ind w:firstLine="720"/>
        <w:jc w:val="both"/>
        <w:rPr>
          <w:rFonts w:ascii="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Menurut istilah ahli ushul, istislah ialah menetapkan suatu hukum bagi masalah yang tidak ada nashnya dan tidak ada ijma berdasarkan kemaslahatan murni atau maslahat yang tidak dijelaskan syari’at dan tidak dibatalkan oleh syari’at. Sebagian ahli ushul memberi istilah dengan maslahat dan para ulama Hanabilah menggunakan istilah istislah dan ahli ushul lainnya termasuk Maliki mengistilahkannya dengan maslahatul mursalah. Lihat lebih lanjut Dr. Abdul Wahab Khallaf, </w:t>
      </w:r>
      <w:r w:rsidRPr="000F30FF">
        <w:rPr>
          <w:rFonts w:ascii="Times New Roman" w:hAnsi="Times New Roman" w:cs="Times New Roman"/>
          <w:i/>
          <w:iCs/>
        </w:rPr>
        <w:t xml:space="preserve">Sumber-sumber Hukum Islam. </w:t>
      </w:r>
      <w:r w:rsidRPr="000F30FF">
        <w:rPr>
          <w:rFonts w:ascii="Times New Roman" w:hAnsi="Times New Roman" w:cs="Times New Roman"/>
        </w:rPr>
        <w:t xml:space="preserve">Diterjemahkan oleh Anwar Rasyidi dari Masaadiru al-Tasyri al-Islamiy Fi Ma Lassa Fihi (Cet. III; Bandung: Risalah, 1984), h. 124. Sedangkan Istihsan menurut bahasa berarti menganggap baik. Abu Hanifah banyak menetapkan hukum berdasarkan istihsan tetapi tidak pernah menjelaskan bagaiamana maksud istihsan itu. Ketika menetapkan hukum dengan istihsan Abu Hanifah mengatakan astahsin sya menganggap baik. Lihat lebih lanjut Abdu Aziz ibn Abdurrahman ibn Ali al-Rabiyah, </w:t>
      </w:r>
      <w:r w:rsidRPr="000F30FF">
        <w:rPr>
          <w:rFonts w:ascii="Times New Roman" w:hAnsi="Times New Roman" w:cs="Times New Roman"/>
          <w:i/>
          <w:iCs/>
        </w:rPr>
        <w:t xml:space="preserve">Adillat al-Tasyri al-Mukhtalaf fi al-Ihtijaj Biha </w:t>
      </w:r>
      <w:r w:rsidRPr="000F30FF">
        <w:rPr>
          <w:rFonts w:ascii="Times New Roman" w:hAnsi="Times New Roman" w:cs="Times New Roman"/>
        </w:rPr>
        <w:t xml:space="preserve">(Cet. 1; tt: Muassasat al-Risalat, 1979), h. 155. </w:t>
      </w:r>
    </w:p>
  </w:footnote>
  <w:footnote w:id="20">
    <w:p w:rsidR="003C6B8D" w:rsidRPr="003C6B8D" w:rsidRDefault="003C6B8D" w:rsidP="003C6B8D">
      <w:pPr>
        <w:pStyle w:val="FootnoteText"/>
        <w:ind w:firstLine="567"/>
        <w:jc w:val="both"/>
        <w:rPr>
          <w:rFonts w:ascii="Times New Roman" w:hAnsi="Times New Roman" w:cs="Times New Roman"/>
          <w:lang w:val="id-ID"/>
        </w:rPr>
      </w:pPr>
      <w:r>
        <w:rPr>
          <w:rStyle w:val="FootnoteReference"/>
        </w:rPr>
        <w:footnoteRef/>
      </w:r>
      <w:r>
        <w:t xml:space="preserve"> </w:t>
      </w:r>
      <w:r w:rsidRPr="003C6B8D">
        <w:t xml:space="preserve"> </w:t>
      </w:r>
      <w:r w:rsidRPr="003C6B8D">
        <w:rPr>
          <w:rFonts w:ascii="Times New Roman" w:hAnsi="Times New Roman" w:cs="Times New Roman"/>
        </w:rPr>
        <w:t xml:space="preserve">Andi Herawati, </w:t>
      </w:r>
      <w:r w:rsidRPr="003C6B8D">
        <w:rPr>
          <w:rFonts w:ascii="Times New Roman" w:hAnsi="Times New Roman" w:cs="Times New Roman"/>
          <w:i/>
        </w:rPr>
        <w:t>“Maslahat Menurut Imam Malik dan Imam al Ghazali (Suatu Perbandingan</w:t>
      </w:r>
      <w:r w:rsidRPr="003C6B8D">
        <w:rPr>
          <w:rFonts w:ascii="Times New Roman" w:hAnsi="Times New Roman" w:cs="Times New Roman"/>
        </w:rPr>
        <w:t>)”, Diktum: Jurnal Syariah dan Hukum 12, no. 1, (2014): h. 146.</w:t>
      </w:r>
    </w:p>
  </w:footnote>
  <w:footnote w:id="21">
    <w:p w:rsidR="006A503D" w:rsidRPr="000F30FF" w:rsidRDefault="006A503D" w:rsidP="006A503D">
      <w:pPr>
        <w:pStyle w:val="FootnoteText"/>
        <w:ind w:firstLine="720"/>
        <w:rPr>
          <w:rFonts w:ascii="Times New Roman" w:hAnsi="Times New Roman" w:cs="Times New Roman"/>
        </w:rPr>
      </w:pPr>
    </w:p>
    <w:p w:rsidR="006A503D" w:rsidRPr="000F30FF" w:rsidRDefault="006A503D" w:rsidP="006A503D">
      <w:pPr>
        <w:pStyle w:val="FootnoteText"/>
        <w:ind w:firstLine="720"/>
        <w:rPr>
          <w:rFonts w:ascii="Times New Roman" w:hAnsi="Times New Roman" w:cs="Times New Roman"/>
        </w:rPr>
      </w:pPr>
      <w:r w:rsidRPr="000F30FF">
        <w:rPr>
          <w:rStyle w:val="FootnoteReference"/>
          <w:rFonts w:ascii="Times New Roman" w:hAnsi="Times New Roman" w:cs="Times New Roman"/>
        </w:rPr>
        <w:footnoteRef/>
      </w:r>
      <w:r w:rsidRPr="000F30FF">
        <w:rPr>
          <w:rFonts w:ascii="Times New Roman" w:hAnsi="Times New Roman" w:cs="Times New Roman"/>
        </w:rPr>
        <w:t xml:space="preserve"> Ibn Khaldun, </w:t>
      </w:r>
      <w:r w:rsidRPr="000F30FF">
        <w:rPr>
          <w:rFonts w:ascii="Times New Roman" w:hAnsi="Times New Roman" w:cs="Times New Roman"/>
          <w:i/>
          <w:iCs/>
        </w:rPr>
        <w:t xml:space="preserve">al-Muqaddimah </w:t>
      </w:r>
      <w:r w:rsidRPr="000F30FF">
        <w:rPr>
          <w:rFonts w:ascii="Times New Roman" w:hAnsi="Times New Roman" w:cs="Times New Roman"/>
        </w:rPr>
        <w:t xml:space="preserve">(Kairo: Bulaq, 1320 H), h. 431.  </w:t>
      </w:r>
    </w:p>
  </w:footnote>
  <w:footnote w:id="22">
    <w:p w:rsidR="006772E0" w:rsidRPr="00A874C1" w:rsidRDefault="006772E0" w:rsidP="006772E0">
      <w:pPr>
        <w:pStyle w:val="CatatanKaki"/>
      </w:pPr>
      <w:r>
        <w:rPr>
          <w:rStyle w:val="FootnoteReference"/>
        </w:rPr>
        <w:footnoteRef/>
      </w:r>
      <w:r>
        <w:t xml:space="preserve"> Mu</w:t>
      </w:r>
      <w:r>
        <w:rPr>
          <w:rFonts w:cs="Times New Roman"/>
        </w:rPr>
        <w:t>ṣ</w:t>
      </w:r>
      <w:r>
        <w:t xml:space="preserve">tafa Zayd, </w:t>
      </w:r>
      <w:r>
        <w:rPr>
          <w:i/>
          <w:iCs/>
        </w:rPr>
        <w:t>al-Ma</w:t>
      </w:r>
      <w:r>
        <w:rPr>
          <w:rFonts w:cs="Times New Roman"/>
          <w:i/>
          <w:iCs/>
        </w:rPr>
        <w:t>ṣ</w:t>
      </w:r>
      <w:r>
        <w:rPr>
          <w:i/>
          <w:iCs/>
        </w:rPr>
        <w:t>la</w:t>
      </w:r>
      <w:r>
        <w:rPr>
          <w:rFonts w:cs="Times New Roman"/>
          <w:i/>
          <w:iCs/>
        </w:rPr>
        <w:t>ḥ</w:t>
      </w:r>
      <w:r>
        <w:rPr>
          <w:i/>
          <w:iCs/>
        </w:rPr>
        <w:t>at f</w:t>
      </w:r>
      <w:r>
        <w:rPr>
          <w:rFonts w:cs="Times New Roman"/>
          <w:i/>
          <w:iCs/>
        </w:rPr>
        <w:t>ī</w:t>
      </w:r>
      <w:r>
        <w:rPr>
          <w:i/>
          <w:iCs/>
        </w:rPr>
        <w:t>y al-Tasyri’ al-Isl</w:t>
      </w:r>
      <w:r>
        <w:rPr>
          <w:rFonts w:cs="Times New Roman"/>
          <w:i/>
          <w:iCs/>
        </w:rPr>
        <w:t>ā</w:t>
      </w:r>
      <w:r>
        <w:rPr>
          <w:i/>
          <w:iCs/>
        </w:rPr>
        <w:t>m</w:t>
      </w:r>
      <w:r>
        <w:rPr>
          <w:rFonts w:cs="Times New Roman"/>
          <w:i/>
          <w:iCs/>
        </w:rPr>
        <w:t>ī</w:t>
      </w:r>
      <w:r>
        <w:rPr>
          <w:i/>
          <w:iCs/>
        </w:rPr>
        <w:t>y Najm al-D</w:t>
      </w:r>
      <w:r>
        <w:rPr>
          <w:rFonts w:cs="Times New Roman"/>
          <w:i/>
          <w:iCs/>
        </w:rPr>
        <w:t>ī</w:t>
      </w:r>
      <w:r>
        <w:rPr>
          <w:i/>
          <w:iCs/>
        </w:rPr>
        <w:t xml:space="preserve">n al-Ṭawfi, </w:t>
      </w:r>
      <w:r>
        <w:t>(Ed. II;  Kairo: D</w:t>
      </w:r>
      <w:r>
        <w:rPr>
          <w:rFonts w:cs="Times New Roman"/>
        </w:rPr>
        <w:t>ā</w:t>
      </w:r>
      <w:r>
        <w:t>r al-Fikr al-‘Arab</w:t>
      </w:r>
      <w:r>
        <w:rPr>
          <w:rFonts w:cs="Times New Roman"/>
        </w:rPr>
        <w:t>ī</w:t>
      </w:r>
      <w:r>
        <w:t>y, 1964), h. 6</w:t>
      </w:r>
    </w:p>
  </w:footnote>
  <w:footnote w:id="23">
    <w:p w:rsidR="006772E0" w:rsidRDefault="006772E0" w:rsidP="006772E0">
      <w:pPr>
        <w:pStyle w:val="CatatanKaki"/>
      </w:pPr>
      <w:r>
        <w:rPr>
          <w:rStyle w:val="FootnoteReference"/>
        </w:rPr>
        <w:footnoteRef/>
      </w:r>
      <w:r>
        <w:t xml:space="preserve"> Harun Nasution, </w:t>
      </w:r>
      <w:r>
        <w:rPr>
          <w:i/>
          <w:iCs/>
        </w:rPr>
        <w:t xml:space="preserve">Islam Ditinjau Dari Berbagai Aspeknya, </w:t>
      </w:r>
      <w:r>
        <w:t>(Jakarta: UI Press, 2008), h. 4.</w:t>
      </w:r>
    </w:p>
  </w:footnote>
  <w:footnote w:id="24">
    <w:p w:rsidR="006772E0" w:rsidRPr="00A020DA" w:rsidRDefault="006772E0" w:rsidP="006772E0">
      <w:pPr>
        <w:pStyle w:val="CatatanKaki"/>
      </w:pPr>
      <w:r>
        <w:rPr>
          <w:rStyle w:val="FootnoteReference"/>
        </w:rPr>
        <w:footnoteRef/>
      </w:r>
      <w:r>
        <w:t xml:space="preserve"> Abu Yazid, </w:t>
      </w:r>
      <w:r>
        <w:rPr>
          <w:i/>
          <w:iCs/>
        </w:rPr>
        <w:t xml:space="preserve">Islam Akomodatif, Rekonstruksi Pemahaman Islam sebagai Agama Universal </w:t>
      </w:r>
      <w:r>
        <w:t>(Cet. I; Yogyakarta: LKIS, 2004), h. 105</w:t>
      </w:r>
    </w:p>
  </w:footnote>
  <w:footnote w:id="25">
    <w:p w:rsidR="006772E0" w:rsidRDefault="006772E0" w:rsidP="006772E0">
      <w:pPr>
        <w:pStyle w:val="CatatanKaki"/>
      </w:pPr>
      <w:r>
        <w:rPr>
          <w:rStyle w:val="FootnoteReference"/>
        </w:rPr>
        <w:footnoteRef/>
      </w:r>
      <w:r>
        <w:t xml:space="preserve"> Adalah kepura-puraan yang dilegalkan oleh mazhab Syi’ah untuk mengelabui lawan bertalian dengan paham politik dan sebagainya.</w:t>
      </w:r>
    </w:p>
  </w:footnote>
  <w:footnote w:id="26">
    <w:p w:rsidR="006772E0" w:rsidRPr="00591526" w:rsidRDefault="006772E0" w:rsidP="006772E0">
      <w:pPr>
        <w:pStyle w:val="CatatanKaki"/>
      </w:pPr>
      <w:r>
        <w:rPr>
          <w:rStyle w:val="FootnoteReference"/>
        </w:rPr>
        <w:footnoteRef/>
      </w:r>
      <w:r>
        <w:t xml:space="preserve"> Lihat Abu Yazid, </w:t>
      </w:r>
      <w:r>
        <w:rPr>
          <w:i/>
          <w:iCs/>
        </w:rPr>
        <w:t xml:space="preserve">Islam Akomodatif, Rekonstruksi Pemahaman Islam sebagai Agama Universal </w:t>
      </w:r>
      <w:r>
        <w:t xml:space="preserve">(Cet. I; Yogtakarta: LKIS, 2004), h. 106. </w:t>
      </w:r>
    </w:p>
  </w:footnote>
  <w:footnote w:id="27">
    <w:p w:rsidR="006772E0" w:rsidRPr="00AE0C12" w:rsidRDefault="006772E0" w:rsidP="006772E0">
      <w:pPr>
        <w:pStyle w:val="CatatanKaki"/>
        <w:rPr>
          <w:i/>
          <w:iCs/>
        </w:rPr>
      </w:pPr>
      <w:r>
        <w:rPr>
          <w:rStyle w:val="FootnoteReference"/>
        </w:rPr>
        <w:footnoteRef/>
      </w:r>
      <w:r>
        <w:t xml:space="preserve"> Pemicu pembicaraan tentang </w:t>
      </w:r>
      <w:r>
        <w:rPr>
          <w:i/>
          <w:iCs/>
        </w:rPr>
        <w:t>ma</w:t>
      </w:r>
      <w:r>
        <w:rPr>
          <w:rFonts w:cs="Times New Roman"/>
          <w:i/>
          <w:iCs/>
        </w:rPr>
        <w:t>ṣ</w:t>
      </w:r>
      <w:r>
        <w:rPr>
          <w:i/>
          <w:iCs/>
        </w:rPr>
        <w:t>la</w:t>
      </w:r>
      <w:r>
        <w:rPr>
          <w:rFonts w:cs="Times New Roman"/>
          <w:i/>
          <w:iCs/>
        </w:rPr>
        <w:t>ḥ</w:t>
      </w:r>
      <w:r>
        <w:rPr>
          <w:i/>
          <w:iCs/>
        </w:rPr>
        <w:t xml:space="preserve">at </w:t>
      </w:r>
      <w:r>
        <w:rPr>
          <w:rFonts w:cs="Times New Roman"/>
        </w:rPr>
        <w:t xml:space="preserve">al-Ṭūfīy lebih cenderung menjadikan syarah </w:t>
      </w:r>
      <w:r w:rsidRPr="00AE0C12">
        <w:rPr>
          <w:rFonts w:cs="Times New Roman"/>
          <w:i/>
          <w:iCs/>
        </w:rPr>
        <w:t>hadis arba’īn al-nawāwiyah</w:t>
      </w:r>
      <w:r>
        <w:rPr>
          <w:rFonts w:cs="Times New Roman"/>
        </w:rPr>
        <w:t xml:space="preserve"> sebagai sumber kajian ketika  pengamat akan mengupas pemikiran al-Ṭūfīy tentang </w:t>
      </w:r>
      <w:r>
        <w:rPr>
          <w:rFonts w:cs="Times New Roman"/>
          <w:i/>
          <w:iCs/>
        </w:rPr>
        <w:t xml:space="preserve">maṣlaḥat. </w:t>
      </w:r>
      <w:r>
        <w:rPr>
          <w:rFonts w:cs="Times New Roman"/>
        </w:rPr>
        <w:t xml:space="preserve">Lihat lebih lanjut, </w:t>
      </w:r>
      <w:r>
        <w:rPr>
          <w:rFonts w:cs="Times New Roman"/>
          <w:i/>
          <w:iCs/>
        </w:rPr>
        <w:t>ibid.</w:t>
      </w:r>
    </w:p>
  </w:footnote>
  <w:footnote w:id="28">
    <w:p w:rsidR="000B45C1" w:rsidRPr="000B45C1" w:rsidRDefault="000B45C1" w:rsidP="000B45C1">
      <w:pPr>
        <w:pStyle w:val="FootnoteText"/>
        <w:ind w:firstLine="567"/>
        <w:jc w:val="both"/>
        <w:rPr>
          <w:rFonts w:ascii="Times New Roman" w:hAnsi="Times New Roman" w:cs="Times New Roman"/>
          <w:lang w:val="id-ID"/>
        </w:rPr>
      </w:pPr>
      <w:r w:rsidRPr="000B45C1">
        <w:rPr>
          <w:rStyle w:val="FootnoteReference"/>
          <w:rFonts w:ascii="Times New Roman" w:hAnsi="Times New Roman" w:cs="Times New Roman"/>
        </w:rPr>
        <w:footnoteRef/>
      </w:r>
      <w:r w:rsidRPr="000B45C1">
        <w:rPr>
          <w:rFonts w:ascii="Times New Roman" w:hAnsi="Times New Roman" w:cs="Times New Roman"/>
        </w:rPr>
        <w:t xml:space="preserve">  Hamzah K, </w:t>
      </w:r>
      <w:r w:rsidRPr="000B45C1">
        <w:rPr>
          <w:rFonts w:ascii="Times New Roman" w:hAnsi="Times New Roman" w:cs="Times New Roman"/>
          <w:i/>
        </w:rPr>
        <w:t>“Revitalisasi Teori Maslahat Mulghâh Al-Tûhfî dan Relevansinya dalam Pembentukan Perundang-Undangan di Indonesia</w:t>
      </w:r>
      <w:r w:rsidRPr="000B45C1">
        <w:rPr>
          <w:rFonts w:ascii="Times New Roman" w:hAnsi="Times New Roman" w:cs="Times New Roman"/>
        </w:rPr>
        <w:t>,” Jurnal Al-Ahkam 15, no. 4 (Januari 2015): h. 27.</w:t>
      </w:r>
    </w:p>
  </w:footnote>
  <w:footnote w:id="29">
    <w:p w:rsidR="00040260" w:rsidRPr="00040260" w:rsidRDefault="00040260" w:rsidP="003C6B8D">
      <w:pPr>
        <w:pStyle w:val="FootnoteText"/>
        <w:ind w:firstLine="567"/>
        <w:jc w:val="both"/>
        <w:rPr>
          <w:lang w:val="id-ID"/>
        </w:rPr>
      </w:pPr>
      <w:r>
        <w:rPr>
          <w:rStyle w:val="FootnoteReference"/>
        </w:rPr>
        <w:footnoteRef/>
      </w:r>
      <w:r>
        <w:t xml:space="preserve"> </w:t>
      </w:r>
      <w:r w:rsidRPr="003C6B8D">
        <w:rPr>
          <w:rFonts w:ascii="Times New Roman" w:hAnsi="Times New Roman" w:cs="Times New Roman"/>
        </w:rPr>
        <w:t>Miftaakhul Amri</w:t>
      </w:r>
      <w:r w:rsidR="003C6B8D" w:rsidRPr="003C6B8D">
        <w:rPr>
          <w:rFonts w:ascii="Times New Roman" w:hAnsi="Times New Roman" w:cs="Times New Roman"/>
          <w:lang w:val="id-ID"/>
        </w:rPr>
        <w:t xml:space="preserve">, Konsep Maslahat Dalam Penetapan Hukum Islam, </w:t>
      </w:r>
      <w:r w:rsidRPr="003C6B8D">
        <w:rPr>
          <w:rFonts w:ascii="Times New Roman" w:hAnsi="Times New Roman" w:cs="Times New Roman"/>
          <w:lang w:val="id-ID"/>
        </w:rPr>
        <w:t>Et</w:t>
      </w:r>
      <w:r w:rsidR="003C6B8D" w:rsidRPr="003C6B8D">
        <w:rPr>
          <w:rFonts w:ascii="Times New Roman" w:hAnsi="Times New Roman" w:cs="Times New Roman"/>
          <w:lang w:val="id-ID"/>
        </w:rPr>
        <w:t>-</w:t>
      </w:r>
      <w:r w:rsidRPr="003C6B8D">
        <w:rPr>
          <w:rFonts w:ascii="Times New Roman" w:hAnsi="Times New Roman" w:cs="Times New Roman"/>
          <w:lang w:val="id-ID"/>
        </w:rPr>
        <w:t>Tijarie</w:t>
      </w:r>
      <w:r w:rsidR="003C6B8D" w:rsidRPr="003C6B8D">
        <w:rPr>
          <w:rFonts w:ascii="Times New Roman" w:hAnsi="Times New Roman" w:cs="Times New Roman"/>
          <w:lang w:val="id-ID"/>
        </w:rPr>
        <w:t xml:space="preserve">| </w:t>
      </w:r>
      <w:r w:rsidRPr="003C6B8D">
        <w:rPr>
          <w:rFonts w:ascii="Times New Roman" w:hAnsi="Times New Roman" w:cs="Times New Roman"/>
          <w:lang w:val="id-ID"/>
        </w:rPr>
        <w:t xml:space="preserve">Volume </w:t>
      </w:r>
      <w:r w:rsidR="003C6B8D" w:rsidRPr="003C6B8D">
        <w:rPr>
          <w:rFonts w:ascii="Times New Roman" w:hAnsi="Times New Roman" w:cs="Times New Roman"/>
          <w:lang w:val="id-ID"/>
        </w:rPr>
        <w:t xml:space="preserve">5, </w:t>
      </w:r>
      <w:r w:rsidRPr="003C6B8D">
        <w:rPr>
          <w:rFonts w:ascii="Times New Roman" w:hAnsi="Times New Roman" w:cs="Times New Roman"/>
          <w:lang w:val="id-ID"/>
        </w:rPr>
        <w:t xml:space="preserve">Nomor </w:t>
      </w:r>
      <w:r w:rsidR="003C6B8D">
        <w:rPr>
          <w:rFonts w:ascii="Times New Roman" w:hAnsi="Times New Roman" w:cs="Times New Roman"/>
          <w:lang w:val="id-ID"/>
        </w:rPr>
        <w:t>2 2018. h</w:t>
      </w:r>
      <w:r w:rsidR="003C6B8D" w:rsidRPr="003C6B8D">
        <w:rPr>
          <w:rFonts w:ascii="Times New Roman" w:hAnsi="Times New Roman" w:cs="Times New Roman"/>
          <w:lang w:val="id-ID"/>
        </w:rPr>
        <w:t>. 53</w:t>
      </w:r>
    </w:p>
  </w:footnote>
  <w:footnote w:id="30">
    <w:p w:rsidR="000B45C1" w:rsidRPr="000B45C1" w:rsidRDefault="000B45C1" w:rsidP="000B45C1">
      <w:pPr>
        <w:pStyle w:val="FootnoteText"/>
        <w:ind w:firstLine="567"/>
        <w:jc w:val="both"/>
        <w:rPr>
          <w:rFonts w:ascii="Times New Roman" w:hAnsi="Times New Roman" w:cs="Times New Roman"/>
          <w:lang w:val="id-ID"/>
        </w:rPr>
      </w:pPr>
      <w:r>
        <w:rPr>
          <w:rStyle w:val="FootnoteReference"/>
        </w:rPr>
        <w:footnoteRef/>
      </w:r>
      <w:r>
        <w:t xml:space="preserve"> </w:t>
      </w:r>
      <w:r w:rsidRPr="000B45C1">
        <w:t xml:space="preserve"> </w:t>
      </w:r>
      <w:r w:rsidRPr="000B45C1">
        <w:rPr>
          <w:rFonts w:ascii="Times New Roman" w:hAnsi="Times New Roman" w:cs="Times New Roman"/>
        </w:rPr>
        <w:t xml:space="preserve">Imam Fawaid. </w:t>
      </w:r>
      <w:r w:rsidRPr="000B45C1">
        <w:rPr>
          <w:rFonts w:ascii="Times New Roman" w:hAnsi="Times New Roman" w:cs="Times New Roman"/>
          <w:i/>
        </w:rPr>
        <w:t>“Konsep Pemikiran Ath-Thufi Tentang Mashlahah Sebagai Metode Istinbath Hukum Islam.” Lisan al-Hal</w:t>
      </w:r>
      <w:r w:rsidRPr="000B45C1">
        <w:rPr>
          <w:rFonts w:ascii="Times New Roman" w:hAnsi="Times New Roman" w:cs="Times New Roman"/>
        </w:rPr>
        <w:t>: Jurnal Pengembangan Pemikiran dan Kebuda</w:t>
      </w:r>
      <w:r>
        <w:rPr>
          <w:rFonts w:ascii="Times New Roman" w:hAnsi="Times New Roman" w:cs="Times New Roman"/>
        </w:rPr>
        <w:t>yaan 6, no. 2 (2014): h. 29</w:t>
      </w:r>
      <w:r>
        <w:rPr>
          <w:rFonts w:ascii="Times New Roman" w:hAnsi="Times New Roman" w:cs="Times New Roman"/>
          <w:lang w:val="id-ID"/>
        </w:rPr>
        <w:t>7</w:t>
      </w:r>
      <w:r w:rsidRPr="000B45C1">
        <w:rPr>
          <w:rFonts w:ascii="Times New Roman" w:hAnsi="Times New Roman" w:cs="Times New Roman"/>
        </w:rPr>
        <w:t>.</w:t>
      </w:r>
    </w:p>
  </w:footnote>
  <w:footnote w:id="31">
    <w:p w:rsidR="006772E0" w:rsidRPr="00437DBE" w:rsidRDefault="006772E0" w:rsidP="006772E0">
      <w:pPr>
        <w:pStyle w:val="CatatanKaki"/>
      </w:pPr>
      <w:r>
        <w:rPr>
          <w:rStyle w:val="FootnoteReference"/>
        </w:rPr>
        <w:footnoteRef/>
      </w:r>
      <w:r>
        <w:t xml:space="preserve"> Lihat Sa’</w:t>
      </w:r>
      <w:r>
        <w:rPr>
          <w:rFonts w:cs="Times New Roman"/>
        </w:rPr>
        <w:t>ī</w:t>
      </w:r>
      <w:r>
        <w:t>d bin N</w:t>
      </w:r>
      <w:r>
        <w:rPr>
          <w:rFonts w:cs="Times New Roman"/>
        </w:rPr>
        <w:t>āṣ</w:t>
      </w:r>
      <w:r>
        <w:t xml:space="preserve">ir, </w:t>
      </w:r>
      <w:r>
        <w:rPr>
          <w:i/>
          <w:iCs/>
        </w:rPr>
        <w:t>al-Ma</w:t>
      </w:r>
      <w:r>
        <w:rPr>
          <w:rFonts w:cs="Times New Roman"/>
          <w:i/>
          <w:iCs/>
        </w:rPr>
        <w:t>ṣ</w:t>
      </w:r>
      <w:r>
        <w:rPr>
          <w:i/>
          <w:iCs/>
        </w:rPr>
        <w:t>la</w:t>
      </w:r>
      <w:r>
        <w:rPr>
          <w:rFonts w:cs="Times New Roman"/>
          <w:i/>
          <w:iCs/>
        </w:rPr>
        <w:t>ḥ</w:t>
      </w:r>
      <w:r>
        <w:rPr>
          <w:i/>
          <w:iCs/>
        </w:rPr>
        <w:t>at ‘Inda al-Ḥan</w:t>
      </w:r>
      <w:r>
        <w:rPr>
          <w:rFonts w:cs="Times New Roman"/>
          <w:i/>
          <w:iCs/>
        </w:rPr>
        <w:t xml:space="preserve">ābilat </w:t>
      </w:r>
      <w:r>
        <w:rPr>
          <w:rFonts w:cs="Times New Roman"/>
        </w:rPr>
        <w:t>(t.tp: t.td., t.th.), h. 8</w:t>
      </w:r>
    </w:p>
  </w:footnote>
  <w:footnote w:id="32">
    <w:p w:rsidR="006772E0" w:rsidRPr="00CF1ABA" w:rsidRDefault="006772E0" w:rsidP="006772E0">
      <w:pPr>
        <w:pStyle w:val="CatatanKaki"/>
      </w:pPr>
      <w:r>
        <w:rPr>
          <w:rStyle w:val="FootnoteReference"/>
        </w:rPr>
        <w:footnoteRef/>
      </w:r>
      <w:r>
        <w:t xml:space="preserve"> Lihat Al</w:t>
      </w:r>
      <w:r>
        <w:rPr>
          <w:rFonts w:cs="Times New Roman"/>
        </w:rPr>
        <w:t>ā</w:t>
      </w:r>
      <w:r>
        <w:t>wi Abb</w:t>
      </w:r>
      <w:r>
        <w:rPr>
          <w:rFonts w:cs="Times New Roman"/>
        </w:rPr>
        <w:t>ā</w:t>
      </w:r>
      <w:r>
        <w:t xml:space="preserve">s dan </w:t>
      </w:r>
      <w:r>
        <w:rPr>
          <w:rFonts w:cs="Times New Roman"/>
        </w:rPr>
        <w:t>Ḥ</w:t>
      </w:r>
      <w:r>
        <w:t xml:space="preserve">asan Sulayman, </w:t>
      </w:r>
      <w:r>
        <w:rPr>
          <w:i/>
          <w:iCs/>
        </w:rPr>
        <w:t>Ib</w:t>
      </w:r>
      <w:r>
        <w:rPr>
          <w:rFonts w:cs="Times New Roman"/>
          <w:i/>
          <w:iCs/>
        </w:rPr>
        <w:t>ā</w:t>
      </w:r>
      <w:r>
        <w:rPr>
          <w:i/>
          <w:iCs/>
        </w:rPr>
        <w:t>nat al-A</w:t>
      </w:r>
      <w:r>
        <w:rPr>
          <w:rFonts w:cs="Times New Roman"/>
          <w:i/>
          <w:iCs/>
        </w:rPr>
        <w:t>ḥ</w:t>
      </w:r>
      <w:r>
        <w:rPr>
          <w:i/>
          <w:iCs/>
        </w:rPr>
        <w:t>k</w:t>
      </w:r>
      <w:r>
        <w:rPr>
          <w:rFonts w:cs="Times New Roman"/>
          <w:i/>
          <w:iCs/>
        </w:rPr>
        <w:t>ā</w:t>
      </w:r>
      <w:r>
        <w:rPr>
          <w:i/>
          <w:iCs/>
        </w:rPr>
        <w:t>m; Syarh Bul</w:t>
      </w:r>
      <w:r>
        <w:rPr>
          <w:rFonts w:cs="Times New Roman"/>
          <w:i/>
          <w:iCs/>
        </w:rPr>
        <w:t>ū</w:t>
      </w:r>
      <w:r>
        <w:rPr>
          <w:i/>
          <w:iCs/>
        </w:rPr>
        <w:t xml:space="preserve">g al-Maram, </w:t>
      </w:r>
      <w:r>
        <w:t>Juz I (Beyr</w:t>
      </w:r>
      <w:r>
        <w:rPr>
          <w:rFonts w:cs="Times New Roman"/>
        </w:rPr>
        <w:t>ū</w:t>
      </w:r>
      <w:r>
        <w:t>t; D</w:t>
      </w:r>
      <w:r>
        <w:rPr>
          <w:rFonts w:cs="Times New Roman"/>
        </w:rPr>
        <w:t>ā</w:t>
      </w:r>
      <w:r>
        <w:t>r al-Fikr, 1996), h. 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6455"/>
      <w:docPartObj>
        <w:docPartGallery w:val="Page Numbers (Top of Page)"/>
        <w:docPartUnique/>
      </w:docPartObj>
    </w:sdtPr>
    <w:sdtContent>
      <w:p w:rsidR="009B2865" w:rsidRDefault="008A5BF6">
        <w:pPr>
          <w:pStyle w:val="Header"/>
          <w:jc w:val="right"/>
        </w:pPr>
        <w:fldSimple w:instr=" PAGE   \* MERGEFORMAT ">
          <w:r w:rsidR="00F65507">
            <w:rPr>
              <w:noProof/>
            </w:rPr>
            <w:t>8</w:t>
          </w:r>
        </w:fldSimple>
      </w:p>
    </w:sdtContent>
  </w:sdt>
  <w:p w:rsidR="009B2865" w:rsidRDefault="009B28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6382"/>
    <w:multiLevelType w:val="hybridMultilevel"/>
    <w:tmpl w:val="528E7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347E6"/>
    <w:multiLevelType w:val="hybridMultilevel"/>
    <w:tmpl w:val="984E8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51211"/>
    <w:multiLevelType w:val="hybridMultilevel"/>
    <w:tmpl w:val="A19ED434"/>
    <w:lvl w:ilvl="0" w:tplc="4AA86D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D2A28F1"/>
    <w:multiLevelType w:val="hybridMultilevel"/>
    <w:tmpl w:val="6B8C6C70"/>
    <w:lvl w:ilvl="0" w:tplc="70FAB614">
      <w:start w:val="1"/>
      <w:numFmt w:val="upperLetter"/>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D74F5"/>
    <w:multiLevelType w:val="hybridMultilevel"/>
    <w:tmpl w:val="A30A55C4"/>
    <w:lvl w:ilvl="0" w:tplc="751890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B41CF"/>
    <w:multiLevelType w:val="hybridMultilevel"/>
    <w:tmpl w:val="A19ED434"/>
    <w:lvl w:ilvl="0" w:tplc="4AA86D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F37B1E"/>
    <w:multiLevelType w:val="hybridMultilevel"/>
    <w:tmpl w:val="D4960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145FB"/>
    <w:multiLevelType w:val="hybridMultilevel"/>
    <w:tmpl w:val="44724456"/>
    <w:lvl w:ilvl="0" w:tplc="982C6E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C000AE"/>
    <w:multiLevelType w:val="hybridMultilevel"/>
    <w:tmpl w:val="373C4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7D484A"/>
    <w:multiLevelType w:val="hybridMultilevel"/>
    <w:tmpl w:val="0890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76070"/>
    <w:multiLevelType w:val="hybridMultilevel"/>
    <w:tmpl w:val="2048F41C"/>
    <w:lvl w:ilvl="0" w:tplc="38CE9FFC">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8C5358"/>
    <w:multiLevelType w:val="hybridMultilevel"/>
    <w:tmpl w:val="6AA0F0A2"/>
    <w:lvl w:ilvl="0" w:tplc="EDEAC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815AAB"/>
    <w:multiLevelType w:val="hybridMultilevel"/>
    <w:tmpl w:val="46B85946"/>
    <w:lvl w:ilvl="0" w:tplc="663C66D6">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0F4F49"/>
    <w:multiLevelType w:val="hybridMultilevel"/>
    <w:tmpl w:val="8CA62E52"/>
    <w:lvl w:ilvl="0" w:tplc="9C5AB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807020A"/>
    <w:multiLevelType w:val="hybridMultilevel"/>
    <w:tmpl w:val="E4448F86"/>
    <w:lvl w:ilvl="0" w:tplc="227A2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F8024B"/>
    <w:multiLevelType w:val="hybridMultilevel"/>
    <w:tmpl w:val="259AFD14"/>
    <w:lvl w:ilvl="0" w:tplc="44306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B20C04"/>
    <w:multiLevelType w:val="hybridMultilevel"/>
    <w:tmpl w:val="54D4DCF2"/>
    <w:lvl w:ilvl="0" w:tplc="963AC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A4D5D88"/>
    <w:multiLevelType w:val="hybridMultilevel"/>
    <w:tmpl w:val="E5D4A252"/>
    <w:lvl w:ilvl="0" w:tplc="A00C76E2">
      <w:start w:val="1"/>
      <w:numFmt w:val="upp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02CC2"/>
    <w:multiLevelType w:val="hybridMultilevel"/>
    <w:tmpl w:val="A2565A56"/>
    <w:lvl w:ilvl="0" w:tplc="4B3CA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1123F9"/>
    <w:multiLevelType w:val="hybridMultilevel"/>
    <w:tmpl w:val="2EA6E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F4539F"/>
    <w:multiLevelType w:val="hybridMultilevel"/>
    <w:tmpl w:val="5A6EC9C4"/>
    <w:lvl w:ilvl="0" w:tplc="DF78A200">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AD0291"/>
    <w:multiLevelType w:val="hybridMultilevel"/>
    <w:tmpl w:val="EA2E9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9"/>
  </w:num>
  <w:num w:numId="3">
    <w:abstractNumId w:val="21"/>
  </w:num>
  <w:num w:numId="4">
    <w:abstractNumId w:val="11"/>
  </w:num>
  <w:num w:numId="5">
    <w:abstractNumId w:val="5"/>
  </w:num>
  <w:num w:numId="6">
    <w:abstractNumId w:val="16"/>
  </w:num>
  <w:num w:numId="7">
    <w:abstractNumId w:val="20"/>
  </w:num>
  <w:num w:numId="8">
    <w:abstractNumId w:val="18"/>
  </w:num>
  <w:num w:numId="9">
    <w:abstractNumId w:val="4"/>
  </w:num>
  <w:num w:numId="10">
    <w:abstractNumId w:val="10"/>
  </w:num>
  <w:num w:numId="11">
    <w:abstractNumId w:val="9"/>
  </w:num>
  <w:num w:numId="12">
    <w:abstractNumId w:val="8"/>
  </w:num>
  <w:num w:numId="13">
    <w:abstractNumId w:val="2"/>
  </w:num>
  <w:num w:numId="14">
    <w:abstractNumId w:val="15"/>
  </w:num>
  <w:num w:numId="15">
    <w:abstractNumId w:val="1"/>
  </w:num>
  <w:num w:numId="16">
    <w:abstractNumId w:val="13"/>
  </w:num>
  <w:num w:numId="17">
    <w:abstractNumId w:val="0"/>
  </w:num>
  <w:num w:numId="18">
    <w:abstractNumId w:val="12"/>
  </w:num>
  <w:num w:numId="19">
    <w:abstractNumId w:val="7"/>
  </w:num>
  <w:num w:numId="20">
    <w:abstractNumId w:val="14"/>
  </w:num>
  <w:num w:numId="21">
    <w:abstractNumId w:val="17"/>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0DA9"/>
    <w:rsid w:val="00011DD9"/>
    <w:rsid w:val="00025D0B"/>
    <w:rsid w:val="00026605"/>
    <w:rsid w:val="0003246C"/>
    <w:rsid w:val="0003460E"/>
    <w:rsid w:val="00040260"/>
    <w:rsid w:val="0005446A"/>
    <w:rsid w:val="00054A8B"/>
    <w:rsid w:val="000555D8"/>
    <w:rsid w:val="00056C0A"/>
    <w:rsid w:val="00060A23"/>
    <w:rsid w:val="00077725"/>
    <w:rsid w:val="000804FE"/>
    <w:rsid w:val="000968F4"/>
    <w:rsid w:val="000B37E1"/>
    <w:rsid w:val="000B45C1"/>
    <w:rsid w:val="000B63A3"/>
    <w:rsid w:val="000B6483"/>
    <w:rsid w:val="000B7CAD"/>
    <w:rsid w:val="000C1273"/>
    <w:rsid w:val="000C4766"/>
    <w:rsid w:val="000D02F5"/>
    <w:rsid w:val="000D2B40"/>
    <w:rsid w:val="000D6960"/>
    <w:rsid w:val="000E5E2C"/>
    <w:rsid w:val="000E5EE1"/>
    <w:rsid w:val="00103414"/>
    <w:rsid w:val="001059A3"/>
    <w:rsid w:val="00111F19"/>
    <w:rsid w:val="00115DC0"/>
    <w:rsid w:val="00121611"/>
    <w:rsid w:val="001246E9"/>
    <w:rsid w:val="001310CF"/>
    <w:rsid w:val="0014537D"/>
    <w:rsid w:val="00146308"/>
    <w:rsid w:val="00164A28"/>
    <w:rsid w:val="00170A0C"/>
    <w:rsid w:val="001A7049"/>
    <w:rsid w:val="001E2D88"/>
    <w:rsid w:val="001F22DF"/>
    <w:rsid w:val="001F5033"/>
    <w:rsid w:val="00211CBA"/>
    <w:rsid w:val="002336EC"/>
    <w:rsid w:val="0023445B"/>
    <w:rsid w:val="00240F0F"/>
    <w:rsid w:val="00282913"/>
    <w:rsid w:val="002843FA"/>
    <w:rsid w:val="00284CA5"/>
    <w:rsid w:val="002870C0"/>
    <w:rsid w:val="00291C11"/>
    <w:rsid w:val="002A6FDA"/>
    <w:rsid w:val="002B462F"/>
    <w:rsid w:val="002C012F"/>
    <w:rsid w:val="002C4163"/>
    <w:rsid w:val="002D01F8"/>
    <w:rsid w:val="002E35EC"/>
    <w:rsid w:val="002E48FC"/>
    <w:rsid w:val="002F12E9"/>
    <w:rsid w:val="002F4AEC"/>
    <w:rsid w:val="003043DC"/>
    <w:rsid w:val="0031166A"/>
    <w:rsid w:val="00314E20"/>
    <w:rsid w:val="00320835"/>
    <w:rsid w:val="00343F01"/>
    <w:rsid w:val="00344E56"/>
    <w:rsid w:val="00347DCC"/>
    <w:rsid w:val="00363BAD"/>
    <w:rsid w:val="00390249"/>
    <w:rsid w:val="003907E6"/>
    <w:rsid w:val="0039711A"/>
    <w:rsid w:val="003B338A"/>
    <w:rsid w:val="003C6B8D"/>
    <w:rsid w:val="003D3277"/>
    <w:rsid w:val="003F740C"/>
    <w:rsid w:val="00406CDD"/>
    <w:rsid w:val="00420FFF"/>
    <w:rsid w:val="00446941"/>
    <w:rsid w:val="004545F3"/>
    <w:rsid w:val="00460CED"/>
    <w:rsid w:val="00492285"/>
    <w:rsid w:val="004C7B12"/>
    <w:rsid w:val="004D686C"/>
    <w:rsid w:val="004F097E"/>
    <w:rsid w:val="005153CF"/>
    <w:rsid w:val="00527265"/>
    <w:rsid w:val="0053132E"/>
    <w:rsid w:val="00532926"/>
    <w:rsid w:val="005376F4"/>
    <w:rsid w:val="005377FA"/>
    <w:rsid w:val="005446F2"/>
    <w:rsid w:val="00561EF3"/>
    <w:rsid w:val="00564048"/>
    <w:rsid w:val="00564DC4"/>
    <w:rsid w:val="005903FC"/>
    <w:rsid w:val="005926E4"/>
    <w:rsid w:val="00593D1D"/>
    <w:rsid w:val="00594060"/>
    <w:rsid w:val="005A39FC"/>
    <w:rsid w:val="005A515A"/>
    <w:rsid w:val="005A5A46"/>
    <w:rsid w:val="005D0C6C"/>
    <w:rsid w:val="005D7D46"/>
    <w:rsid w:val="005E1EF6"/>
    <w:rsid w:val="005F20C8"/>
    <w:rsid w:val="005F54CD"/>
    <w:rsid w:val="005F5C3E"/>
    <w:rsid w:val="005F68A4"/>
    <w:rsid w:val="0062454C"/>
    <w:rsid w:val="00624944"/>
    <w:rsid w:val="00627119"/>
    <w:rsid w:val="00635D0A"/>
    <w:rsid w:val="00635E89"/>
    <w:rsid w:val="00646511"/>
    <w:rsid w:val="00647540"/>
    <w:rsid w:val="00657592"/>
    <w:rsid w:val="00661B6E"/>
    <w:rsid w:val="0067081B"/>
    <w:rsid w:val="006772E0"/>
    <w:rsid w:val="00684B15"/>
    <w:rsid w:val="00690955"/>
    <w:rsid w:val="00697881"/>
    <w:rsid w:val="006A2D86"/>
    <w:rsid w:val="006A503D"/>
    <w:rsid w:val="006A6BA4"/>
    <w:rsid w:val="006B78C2"/>
    <w:rsid w:val="006C7568"/>
    <w:rsid w:val="006D7086"/>
    <w:rsid w:val="006F0330"/>
    <w:rsid w:val="007471B2"/>
    <w:rsid w:val="0076070E"/>
    <w:rsid w:val="0077233F"/>
    <w:rsid w:val="007A69A6"/>
    <w:rsid w:val="007C1986"/>
    <w:rsid w:val="007C2733"/>
    <w:rsid w:val="007C4F0F"/>
    <w:rsid w:val="007D2DC2"/>
    <w:rsid w:val="007E080E"/>
    <w:rsid w:val="007E6117"/>
    <w:rsid w:val="007F41AB"/>
    <w:rsid w:val="0080063A"/>
    <w:rsid w:val="008072E6"/>
    <w:rsid w:val="008112AB"/>
    <w:rsid w:val="008113BF"/>
    <w:rsid w:val="00845915"/>
    <w:rsid w:val="00847C78"/>
    <w:rsid w:val="00852EAB"/>
    <w:rsid w:val="008712B6"/>
    <w:rsid w:val="008768F9"/>
    <w:rsid w:val="008859B6"/>
    <w:rsid w:val="00895705"/>
    <w:rsid w:val="008A5BF6"/>
    <w:rsid w:val="008E68F6"/>
    <w:rsid w:val="008E6CE7"/>
    <w:rsid w:val="00907C5A"/>
    <w:rsid w:val="00920E37"/>
    <w:rsid w:val="00950D6A"/>
    <w:rsid w:val="00962335"/>
    <w:rsid w:val="009647CC"/>
    <w:rsid w:val="00967D34"/>
    <w:rsid w:val="00975DC3"/>
    <w:rsid w:val="00980E0B"/>
    <w:rsid w:val="0098573D"/>
    <w:rsid w:val="009916A0"/>
    <w:rsid w:val="009A4C01"/>
    <w:rsid w:val="009B2865"/>
    <w:rsid w:val="009C15F5"/>
    <w:rsid w:val="009E278B"/>
    <w:rsid w:val="009E5631"/>
    <w:rsid w:val="009F6285"/>
    <w:rsid w:val="00A06BA8"/>
    <w:rsid w:val="00A27DC0"/>
    <w:rsid w:val="00A46A2E"/>
    <w:rsid w:val="00A661AC"/>
    <w:rsid w:val="00A9102F"/>
    <w:rsid w:val="00A91296"/>
    <w:rsid w:val="00A93D55"/>
    <w:rsid w:val="00AB5754"/>
    <w:rsid w:val="00AC0632"/>
    <w:rsid w:val="00AC0DA9"/>
    <w:rsid w:val="00AD15A5"/>
    <w:rsid w:val="00AD224D"/>
    <w:rsid w:val="00AD22DB"/>
    <w:rsid w:val="00AD2CA8"/>
    <w:rsid w:val="00AD5D92"/>
    <w:rsid w:val="00AE12EC"/>
    <w:rsid w:val="00AE6C65"/>
    <w:rsid w:val="00AF0162"/>
    <w:rsid w:val="00B03BDC"/>
    <w:rsid w:val="00B61764"/>
    <w:rsid w:val="00B66AED"/>
    <w:rsid w:val="00B87909"/>
    <w:rsid w:val="00BB17AE"/>
    <w:rsid w:val="00BB2F5D"/>
    <w:rsid w:val="00BD6A61"/>
    <w:rsid w:val="00BF36E0"/>
    <w:rsid w:val="00BF6AF9"/>
    <w:rsid w:val="00C0527C"/>
    <w:rsid w:val="00C20AEF"/>
    <w:rsid w:val="00C33044"/>
    <w:rsid w:val="00C40873"/>
    <w:rsid w:val="00C50021"/>
    <w:rsid w:val="00C54030"/>
    <w:rsid w:val="00C5611A"/>
    <w:rsid w:val="00C76633"/>
    <w:rsid w:val="00C779A4"/>
    <w:rsid w:val="00C94D4D"/>
    <w:rsid w:val="00CA4A44"/>
    <w:rsid w:val="00CC347D"/>
    <w:rsid w:val="00CC45E7"/>
    <w:rsid w:val="00CC4E74"/>
    <w:rsid w:val="00CE52AC"/>
    <w:rsid w:val="00CF4C6F"/>
    <w:rsid w:val="00D1513E"/>
    <w:rsid w:val="00D64283"/>
    <w:rsid w:val="00D66E90"/>
    <w:rsid w:val="00D8494A"/>
    <w:rsid w:val="00D85721"/>
    <w:rsid w:val="00D86648"/>
    <w:rsid w:val="00D91EAC"/>
    <w:rsid w:val="00DB0C29"/>
    <w:rsid w:val="00DC4B77"/>
    <w:rsid w:val="00DE640B"/>
    <w:rsid w:val="00DE758F"/>
    <w:rsid w:val="00DF0EDD"/>
    <w:rsid w:val="00DF2BE2"/>
    <w:rsid w:val="00E03F76"/>
    <w:rsid w:val="00E118D9"/>
    <w:rsid w:val="00E27B56"/>
    <w:rsid w:val="00E35E5D"/>
    <w:rsid w:val="00E445D1"/>
    <w:rsid w:val="00E473D0"/>
    <w:rsid w:val="00E63593"/>
    <w:rsid w:val="00E64F85"/>
    <w:rsid w:val="00E73BEB"/>
    <w:rsid w:val="00E817F6"/>
    <w:rsid w:val="00E96692"/>
    <w:rsid w:val="00ED7882"/>
    <w:rsid w:val="00EE0A58"/>
    <w:rsid w:val="00EE26EF"/>
    <w:rsid w:val="00EE4C6F"/>
    <w:rsid w:val="00F1274B"/>
    <w:rsid w:val="00F266A0"/>
    <w:rsid w:val="00F36BA3"/>
    <w:rsid w:val="00F40EFC"/>
    <w:rsid w:val="00F53C45"/>
    <w:rsid w:val="00F56222"/>
    <w:rsid w:val="00F65507"/>
    <w:rsid w:val="00F85762"/>
    <w:rsid w:val="00F971CE"/>
    <w:rsid w:val="00F9773F"/>
    <w:rsid w:val="00FA6035"/>
    <w:rsid w:val="00FD5005"/>
    <w:rsid w:val="00FD7FA5"/>
    <w:rsid w:val="00FF21CC"/>
    <w:rsid w:val="00FF53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048"/>
    <w:pPr>
      <w:ind w:left="720"/>
      <w:contextualSpacing/>
    </w:pPr>
  </w:style>
  <w:style w:type="paragraph" w:styleId="FootnoteText">
    <w:name w:val="footnote text"/>
    <w:basedOn w:val="Normal"/>
    <w:link w:val="FootnoteTextChar"/>
    <w:uiPriority w:val="99"/>
    <w:unhideWhenUsed/>
    <w:rsid w:val="00A91296"/>
    <w:pPr>
      <w:spacing w:after="0" w:line="240" w:lineRule="auto"/>
    </w:pPr>
    <w:rPr>
      <w:sz w:val="20"/>
      <w:szCs w:val="20"/>
    </w:rPr>
  </w:style>
  <w:style w:type="character" w:customStyle="1" w:styleId="FootnoteTextChar">
    <w:name w:val="Footnote Text Char"/>
    <w:basedOn w:val="DefaultParagraphFont"/>
    <w:link w:val="FootnoteText"/>
    <w:uiPriority w:val="99"/>
    <w:rsid w:val="00A91296"/>
    <w:rPr>
      <w:sz w:val="20"/>
      <w:szCs w:val="20"/>
    </w:rPr>
  </w:style>
  <w:style w:type="character" w:styleId="FootnoteReference">
    <w:name w:val="footnote reference"/>
    <w:basedOn w:val="DefaultParagraphFont"/>
    <w:uiPriority w:val="99"/>
    <w:semiHidden/>
    <w:unhideWhenUsed/>
    <w:rsid w:val="00A91296"/>
    <w:rPr>
      <w:vertAlign w:val="superscript"/>
    </w:rPr>
  </w:style>
  <w:style w:type="paragraph" w:styleId="Header">
    <w:name w:val="header"/>
    <w:basedOn w:val="Normal"/>
    <w:link w:val="HeaderChar"/>
    <w:uiPriority w:val="99"/>
    <w:unhideWhenUsed/>
    <w:rsid w:val="006B78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78C2"/>
  </w:style>
  <w:style w:type="paragraph" w:styleId="Footer">
    <w:name w:val="footer"/>
    <w:basedOn w:val="Normal"/>
    <w:link w:val="FooterChar"/>
    <w:uiPriority w:val="99"/>
    <w:semiHidden/>
    <w:unhideWhenUsed/>
    <w:rsid w:val="006B78C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6B78C2"/>
  </w:style>
  <w:style w:type="character" w:styleId="CommentReference">
    <w:name w:val="annotation reference"/>
    <w:basedOn w:val="DefaultParagraphFont"/>
    <w:uiPriority w:val="99"/>
    <w:semiHidden/>
    <w:unhideWhenUsed/>
    <w:rsid w:val="00C20AEF"/>
    <w:rPr>
      <w:sz w:val="16"/>
      <w:szCs w:val="16"/>
    </w:rPr>
  </w:style>
  <w:style w:type="paragraph" w:styleId="CommentText">
    <w:name w:val="annotation text"/>
    <w:basedOn w:val="Normal"/>
    <w:link w:val="CommentTextChar"/>
    <w:uiPriority w:val="99"/>
    <w:semiHidden/>
    <w:unhideWhenUsed/>
    <w:rsid w:val="00C20AEF"/>
    <w:pPr>
      <w:spacing w:line="240" w:lineRule="auto"/>
    </w:pPr>
    <w:rPr>
      <w:sz w:val="20"/>
      <w:szCs w:val="20"/>
    </w:rPr>
  </w:style>
  <w:style w:type="character" w:customStyle="1" w:styleId="CommentTextChar">
    <w:name w:val="Comment Text Char"/>
    <w:basedOn w:val="DefaultParagraphFont"/>
    <w:link w:val="CommentText"/>
    <w:uiPriority w:val="99"/>
    <w:semiHidden/>
    <w:rsid w:val="00C20AEF"/>
    <w:rPr>
      <w:sz w:val="20"/>
      <w:szCs w:val="20"/>
    </w:rPr>
  </w:style>
  <w:style w:type="paragraph" w:styleId="CommentSubject">
    <w:name w:val="annotation subject"/>
    <w:basedOn w:val="CommentText"/>
    <w:next w:val="CommentText"/>
    <w:link w:val="CommentSubjectChar"/>
    <w:uiPriority w:val="99"/>
    <w:semiHidden/>
    <w:unhideWhenUsed/>
    <w:rsid w:val="00C20AEF"/>
    <w:rPr>
      <w:b/>
      <w:bCs/>
    </w:rPr>
  </w:style>
  <w:style w:type="character" w:customStyle="1" w:styleId="CommentSubjectChar">
    <w:name w:val="Comment Subject Char"/>
    <w:basedOn w:val="CommentTextChar"/>
    <w:link w:val="CommentSubject"/>
    <w:uiPriority w:val="99"/>
    <w:semiHidden/>
    <w:rsid w:val="00C20AEF"/>
    <w:rPr>
      <w:b/>
      <w:bCs/>
    </w:rPr>
  </w:style>
  <w:style w:type="paragraph" w:styleId="BalloonText">
    <w:name w:val="Balloon Text"/>
    <w:basedOn w:val="Normal"/>
    <w:link w:val="BalloonTextChar"/>
    <w:uiPriority w:val="99"/>
    <w:semiHidden/>
    <w:unhideWhenUsed/>
    <w:rsid w:val="00C20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0AEF"/>
    <w:rPr>
      <w:rFonts w:ascii="Tahoma" w:hAnsi="Tahoma" w:cs="Tahoma"/>
      <w:sz w:val="16"/>
      <w:szCs w:val="16"/>
    </w:rPr>
  </w:style>
  <w:style w:type="paragraph" w:customStyle="1" w:styleId="BatangTubuh">
    <w:name w:val="Batang Tubuh"/>
    <w:basedOn w:val="CatatanKaki"/>
    <w:link w:val="BatangTubuhChar"/>
    <w:qFormat/>
    <w:rsid w:val="006772E0"/>
    <w:pPr>
      <w:spacing w:before="0" w:after="0" w:line="480" w:lineRule="exact"/>
    </w:pPr>
    <w:rPr>
      <w:sz w:val="28"/>
      <w:szCs w:val="32"/>
    </w:rPr>
  </w:style>
  <w:style w:type="character" w:customStyle="1" w:styleId="BatangTubuhChar">
    <w:name w:val="Batang Tubuh Char"/>
    <w:basedOn w:val="DefaultParagraphFont"/>
    <w:link w:val="BatangTubuh"/>
    <w:rsid w:val="006772E0"/>
    <w:rPr>
      <w:rFonts w:ascii="Times New Roman" w:eastAsiaTheme="minorHAnsi" w:hAnsi="Times New Roman" w:cs="Traditional Arabic"/>
      <w:sz w:val="28"/>
      <w:szCs w:val="32"/>
    </w:rPr>
  </w:style>
  <w:style w:type="paragraph" w:customStyle="1" w:styleId="CatatanKaki">
    <w:name w:val="Catatan Kaki"/>
    <w:basedOn w:val="FootnoteText"/>
    <w:qFormat/>
    <w:rsid w:val="006772E0"/>
    <w:pPr>
      <w:spacing w:before="120" w:after="120" w:line="280" w:lineRule="exact"/>
      <w:ind w:firstLine="720"/>
      <w:jc w:val="lowKashida"/>
    </w:pPr>
    <w:rPr>
      <w:rFonts w:ascii="Times New Roman" w:eastAsiaTheme="minorHAnsi" w:hAnsi="Times New Roman" w:cs="Traditional Arabic"/>
    </w:rPr>
  </w:style>
  <w:style w:type="paragraph" w:styleId="NormalWeb">
    <w:name w:val="Normal (Web)"/>
    <w:basedOn w:val="Normal"/>
    <w:uiPriority w:val="99"/>
    <w:rsid w:val="00C05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75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D4AFE-869C-4DAC-8EBA-1DFAD3D6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24</Pages>
  <Words>5982</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2010-11-30T03:24:00Z</cp:lastPrinted>
  <dcterms:created xsi:type="dcterms:W3CDTF">2022-10-07T07:36:00Z</dcterms:created>
  <dcterms:modified xsi:type="dcterms:W3CDTF">2023-01-16T05:23:00Z</dcterms:modified>
</cp:coreProperties>
</file>